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D6FE1">
      <w:pPr>
        <w:jc w:val="center"/>
        <w:outlineLvl w:val="1"/>
        <w:rPr>
          <w:rFonts w:hint="eastAsia" w:ascii="Calibri" w:hAnsi="Calibri" w:eastAsia="宋体" w:cs="Times New Roman"/>
          <w:lang w:val="en-US" w:eastAsia="zh-Hans"/>
        </w:rPr>
      </w:pPr>
      <w:r>
        <w:rPr>
          <w:rFonts w:hint="eastAsia" w:ascii="仿宋_GB2312" w:hAnsi="仿宋_GB2312" w:eastAsia="仿宋_GB2312" w:cs="仿宋_GB2312"/>
          <w:b/>
          <w:sz w:val="36"/>
          <w:lang w:val="en-US" w:eastAsia="zh-Hans"/>
        </w:rPr>
        <w:t>技术、服务及其他要求</w:t>
      </w:r>
    </w:p>
    <w:p w14:paraId="35812B9B">
      <w:pPr>
        <w:ind w:firstLine="480"/>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（注：本章的技术、服务及其他要求中，带“★”的要求为实质性要求。采购人、代理机构应当根据项目实际要求合理设定，并在第五章符合性审查中明确响应要求。）</w:t>
      </w:r>
    </w:p>
    <w:p w14:paraId="35D29162">
      <w:pPr>
        <w:jc w:val="left"/>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3.1.采购内容</w:t>
      </w:r>
    </w:p>
    <w:p w14:paraId="678D87C4">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6A910971">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采购包预算金额（元）: 600,000.00</w:t>
      </w:r>
    </w:p>
    <w:p w14:paraId="1F1AC87B">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采购包最高限价（元）: 600,000.00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6"/>
        <w:gridCol w:w="1206"/>
        <w:gridCol w:w="731"/>
        <w:gridCol w:w="820"/>
        <w:gridCol w:w="1217"/>
        <w:gridCol w:w="731"/>
        <w:gridCol w:w="731"/>
        <w:gridCol w:w="731"/>
        <w:gridCol w:w="731"/>
        <w:gridCol w:w="589"/>
        <w:gridCol w:w="589"/>
      </w:tblGrid>
      <w:tr w14:paraId="78416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A6F43E8">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序号</w:t>
            </w:r>
          </w:p>
        </w:tc>
        <w:tc>
          <w:tcPr>
            <w:tcW w:w="821" w:type="dxa"/>
          </w:tcPr>
          <w:p w14:paraId="7ABB267D">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采购品目名称</w:t>
            </w:r>
          </w:p>
        </w:tc>
        <w:tc>
          <w:tcPr>
            <w:tcW w:w="821" w:type="dxa"/>
          </w:tcPr>
          <w:p w14:paraId="58AEBCB9">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标的名称</w:t>
            </w:r>
          </w:p>
        </w:tc>
        <w:tc>
          <w:tcPr>
            <w:tcW w:w="821" w:type="dxa"/>
          </w:tcPr>
          <w:p w14:paraId="094D656C">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数量</w:t>
            </w:r>
            <w:r>
              <w:rPr>
                <w:rFonts w:hint="eastAsia" w:ascii="Calibri" w:hAnsi="Calibri" w:eastAsia="宋体" w:cs="Times New Roman"/>
                <w:lang w:val="en-US" w:eastAsia="zh-Hans"/>
              </w:rPr>
              <w:br w:type="textWrapping"/>
            </w:r>
            <w:r>
              <w:rPr>
                <w:rFonts w:hint="eastAsia" w:ascii="仿宋_GB2312" w:hAnsi="仿宋_GB2312" w:eastAsia="仿宋_GB2312" w:cs="仿宋_GB2312"/>
                <w:lang w:val="en-US" w:eastAsia="zh-Hans"/>
              </w:rPr>
              <w:t>(计量单位)</w:t>
            </w:r>
          </w:p>
        </w:tc>
        <w:tc>
          <w:tcPr>
            <w:tcW w:w="821" w:type="dxa"/>
          </w:tcPr>
          <w:p w14:paraId="4A10D763">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标的金额 （元）</w:t>
            </w:r>
          </w:p>
        </w:tc>
        <w:tc>
          <w:tcPr>
            <w:tcW w:w="821" w:type="dxa"/>
          </w:tcPr>
          <w:p w14:paraId="190CE273">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所属行业</w:t>
            </w:r>
          </w:p>
        </w:tc>
        <w:tc>
          <w:tcPr>
            <w:tcW w:w="821" w:type="dxa"/>
          </w:tcPr>
          <w:p w14:paraId="611FCF28">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是否涉及核心产品</w:t>
            </w:r>
          </w:p>
        </w:tc>
        <w:tc>
          <w:tcPr>
            <w:tcW w:w="821" w:type="dxa"/>
          </w:tcPr>
          <w:p w14:paraId="3CE702EF">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是否涉及采购进口产品</w:t>
            </w:r>
          </w:p>
        </w:tc>
        <w:tc>
          <w:tcPr>
            <w:tcW w:w="821" w:type="dxa"/>
          </w:tcPr>
          <w:p w14:paraId="1A0C9214">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是否涉及强制采购节能产品</w:t>
            </w:r>
          </w:p>
        </w:tc>
        <w:tc>
          <w:tcPr>
            <w:tcW w:w="639" w:type="dxa"/>
          </w:tcPr>
          <w:p w14:paraId="47CEE768">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是否涉及优先采购节能产品</w:t>
            </w:r>
          </w:p>
        </w:tc>
        <w:tc>
          <w:tcPr>
            <w:tcW w:w="639" w:type="dxa"/>
          </w:tcPr>
          <w:p w14:paraId="3DAE2B08">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是否涉及优先采购环境标志产品</w:t>
            </w:r>
          </w:p>
        </w:tc>
      </w:tr>
      <w:tr w14:paraId="1A7DE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91C7CE">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w:t>
            </w:r>
          </w:p>
        </w:tc>
        <w:tc>
          <w:tcPr>
            <w:tcW w:w="821" w:type="dxa"/>
          </w:tcPr>
          <w:p w14:paraId="515A6E8B">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A02102100 教学仪器</w:t>
            </w:r>
          </w:p>
        </w:tc>
        <w:tc>
          <w:tcPr>
            <w:tcW w:w="821" w:type="dxa"/>
          </w:tcPr>
          <w:p w14:paraId="7175D3AC">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体育实时翻译系统</w:t>
            </w:r>
          </w:p>
        </w:tc>
        <w:tc>
          <w:tcPr>
            <w:tcW w:w="821" w:type="dxa"/>
          </w:tcPr>
          <w:p w14:paraId="19035A34">
            <w:pPr>
              <w:jc w:val="righ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1.00（套）</w:t>
            </w:r>
          </w:p>
        </w:tc>
        <w:tc>
          <w:tcPr>
            <w:tcW w:w="821" w:type="dxa"/>
          </w:tcPr>
          <w:p w14:paraId="345613E4">
            <w:pPr>
              <w:jc w:val="righ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600,000.00</w:t>
            </w:r>
          </w:p>
        </w:tc>
        <w:tc>
          <w:tcPr>
            <w:tcW w:w="821" w:type="dxa"/>
          </w:tcPr>
          <w:p w14:paraId="4520E878">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软件和信息技术服务业</w:t>
            </w:r>
          </w:p>
        </w:tc>
        <w:tc>
          <w:tcPr>
            <w:tcW w:w="821" w:type="dxa"/>
          </w:tcPr>
          <w:p w14:paraId="3EBA2153">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w:t>
            </w:r>
          </w:p>
        </w:tc>
        <w:tc>
          <w:tcPr>
            <w:tcW w:w="821" w:type="dxa"/>
          </w:tcPr>
          <w:p w14:paraId="4AF5479E">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21" w:type="dxa"/>
          </w:tcPr>
          <w:p w14:paraId="7105B60E">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639" w:type="dxa"/>
          </w:tcPr>
          <w:p w14:paraId="2021C9F5">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639" w:type="dxa"/>
          </w:tcPr>
          <w:p w14:paraId="6B1379F0">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r>
    </w:tbl>
    <w:p w14:paraId="4A8093B7">
      <w:pPr>
        <w:jc w:val="left"/>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报价要求</w:t>
      </w:r>
    </w:p>
    <w:p w14:paraId="7FB04041">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62CF0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5F64021">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序号</w:t>
            </w:r>
          </w:p>
        </w:tc>
        <w:tc>
          <w:tcPr>
            <w:tcW w:w="1707" w:type="dxa"/>
          </w:tcPr>
          <w:p w14:paraId="6C503422">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报价内容</w:t>
            </w:r>
          </w:p>
        </w:tc>
        <w:tc>
          <w:tcPr>
            <w:tcW w:w="1138" w:type="dxa"/>
          </w:tcPr>
          <w:p w14:paraId="0D50B3C7">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数量（计量单位）</w:t>
            </w:r>
          </w:p>
        </w:tc>
        <w:tc>
          <w:tcPr>
            <w:tcW w:w="1365" w:type="dxa"/>
          </w:tcPr>
          <w:p w14:paraId="32087F60">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最高限价</w:t>
            </w:r>
          </w:p>
        </w:tc>
        <w:tc>
          <w:tcPr>
            <w:tcW w:w="1138" w:type="dxa"/>
          </w:tcPr>
          <w:p w14:paraId="5ACCFF57">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价款形式</w:t>
            </w:r>
          </w:p>
        </w:tc>
        <w:tc>
          <w:tcPr>
            <w:tcW w:w="1934" w:type="dxa"/>
          </w:tcPr>
          <w:p w14:paraId="621CCD26">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报价说明</w:t>
            </w:r>
          </w:p>
        </w:tc>
      </w:tr>
      <w:tr w14:paraId="07220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C644D1">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w:t>
            </w:r>
          </w:p>
        </w:tc>
        <w:tc>
          <w:tcPr>
            <w:tcW w:w="1707" w:type="dxa"/>
          </w:tcPr>
          <w:p w14:paraId="45E9B065">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体育实时翻译系统</w:t>
            </w:r>
          </w:p>
        </w:tc>
        <w:tc>
          <w:tcPr>
            <w:tcW w:w="1138" w:type="dxa"/>
          </w:tcPr>
          <w:p w14:paraId="33A0BDD4">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1.00（套）</w:t>
            </w:r>
          </w:p>
        </w:tc>
        <w:tc>
          <w:tcPr>
            <w:tcW w:w="1365" w:type="dxa"/>
          </w:tcPr>
          <w:p w14:paraId="63072E19">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600,000.00</w:t>
            </w:r>
          </w:p>
        </w:tc>
        <w:tc>
          <w:tcPr>
            <w:tcW w:w="1138" w:type="dxa"/>
          </w:tcPr>
          <w:p w14:paraId="7503632D">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总价</w:t>
            </w:r>
          </w:p>
        </w:tc>
        <w:tc>
          <w:tcPr>
            <w:tcW w:w="1934" w:type="dxa"/>
          </w:tcPr>
          <w:p w14:paraId="21CCBF68">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无</w:t>
            </w:r>
          </w:p>
        </w:tc>
      </w:tr>
    </w:tbl>
    <w:p w14:paraId="320685CE">
      <w:pPr>
        <w:ind w:firstLine="480"/>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★注：投标人响应产品应当明确品牌和规格型号并指向唯一产品，不能指向唯一产品的，应通过报价表唯一产品说明栏补充说明。</w:t>
      </w:r>
    </w:p>
    <w:p w14:paraId="2DBFA2BE">
      <w:pPr>
        <w:jc w:val="left"/>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本项目涉及核心产品：</w:t>
      </w:r>
    </w:p>
    <w:p w14:paraId="764411D2">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9FAC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77919B">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序号</w:t>
            </w:r>
          </w:p>
        </w:tc>
        <w:tc>
          <w:tcPr>
            <w:tcW w:w="2492" w:type="dxa"/>
          </w:tcPr>
          <w:p w14:paraId="3258C6D3">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采购品目名称</w:t>
            </w:r>
          </w:p>
        </w:tc>
        <w:tc>
          <w:tcPr>
            <w:tcW w:w="2492" w:type="dxa"/>
          </w:tcPr>
          <w:p w14:paraId="35128D74">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标的名称</w:t>
            </w:r>
          </w:p>
        </w:tc>
        <w:tc>
          <w:tcPr>
            <w:tcW w:w="2492" w:type="dxa"/>
          </w:tcPr>
          <w:p w14:paraId="0A4DE01B">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产品名称</w:t>
            </w:r>
          </w:p>
        </w:tc>
      </w:tr>
      <w:tr w14:paraId="7B8EF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AD8AD0">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w:t>
            </w:r>
          </w:p>
        </w:tc>
        <w:tc>
          <w:tcPr>
            <w:tcW w:w="2492" w:type="dxa"/>
          </w:tcPr>
          <w:p w14:paraId="318163E5">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A02102100 教学仪器</w:t>
            </w:r>
          </w:p>
        </w:tc>
        <w:tc>
          <w:tcPr>
            <w:tcW w:w="2492" w:type="dxa"/>
          </w:tcPr>
          <w:p w14:paraId="68F997DC">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体育实时翻译系统</w:t>
            </w:r>
          </w:p>
        </w:tc>
        <w:tc>
          <w:tcPr>
            <w:tcW w:w="2492" w:type="dxa"/>
          </w:tcPr>
          <w:p w14:paraId="12F46629">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体育实时翻译系统</w:t>
            </w:r>
          </w:p>
        </w:tc>
      </w:tr>
    </w:tbl>
    <w:p w14:paraId="270BBFA5">
      <w:pPr>
        <w:ind w:firstLine="480"/>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注：涉及核心产品的，具体评审规定见第五章。</w:t>
      </w:r>
    </w:p>
    <w:p w14:paraId="11CDC3DC">
      <w:pPr>
        <w:jc w:val="left"/>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本项目涉及采购进口产品：</w:t>
      </w:r>
    </w:p>
    <w:p w14:paraId="4494C932">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618E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4BA95D">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序号</w:t>
            </w:r>
          </w:p>
        </w:tc>
        <w:tc>
          <w:tcPr>
            <w:tcW w:w="2492" w:type="dxa"/>
          </w:tcPr>
          <w:p w14:paraId="0B71BD72">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采购品目名称</w:t>
            </w:r>
          </w:p>
        </w:tc>
        <w:tc>
          <w:tcPr>
            <w:tcW w:w="2492" w:type="dxa"/>
          </w:tcPr>
          <w:p w14:paraId="0A13DBEE">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标的名称</w:t>
            </w:r>
          </w:p>
        </w:tc>
        <w:tc>
          <w:tcPr>
            <w:tcW w:w="2492" w:type="dxa"/>
          </w:tcPr>
          <w:p w14:paraId="643764DC">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产品名称</w:t>
            </w:r>
          </w:p>
        </w:tc>
      </w:tr>
      <w:tr w14:paraId="7901E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AFEE687">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不涉及</w:t>
            </w:r>
          </w:p>
        </w:tc>
      </w:tr>
    </w:tbl>
    <w:p w14:paraId="019B37A7">
      <w:pPr>
        <w:ind w:firstLine="480"/>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★注：不涉及采购进口产品时，投标人不得提供进口产品进行响应；涉及采购进口产品时，如国产产品满足采购需求，也可提供国产产品进行响应。</w:t>
      </w:r>
    </w:p>
    <w:p w14:paraId="0160D8C7">
      <w:pPr>
        <w:jc w:val="left"/>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本项目涉及强制采购节能产品：</w:t>
      </w:r>
    </w:p>
    <w:p w14:paraId="2A9F6CA6">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1A80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D4C9D0">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序号</w:t>
            </w:r>
          </w:p>
        </w:tc>
        <w:tc>
          <w:tcPr>
            <w:tcW w:w="2492" w:type="dxa"/>
          </w:tcPr>
          <w:p w14:paraId="62858771">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采购品目名称</w:t>
            </w:r>
          </w:p>
        </w:tc>
        <w:tc>
          <w:tcPr>
            <w:tcW w:w="2492" w:type="dxa"/>
          </w:tcPr>
          <w:p w14:paraId="5D927F13">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标的名称</w:t>
            </w:r>
          </w:p>
        </w:tc>
        <w:tc>
          <w:tcPr>
            <w:tcW w:w="2492" w:type="dxa"/>
          </w:tcPr>
          <w:p w14:paraId="2BA2F09B">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产品名称</w:t>
            </w:r>
          </w:p>
        </w:tc>
      </w:tr>
      <w:tr w14:paraId="632A7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8EE5FC3">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不涉及</w:t>
            </w:r>
          </w:p>
        </w:tc>
      </w:tr>
    </w:tbl>
    <w:p w14:paraId="747F046A">
      <w:pPr>
        <w:ind w:firstLine="480"/>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注：响应产品属于《节能产品政府采购品目清单》中政府强制采购的产品，投标人应当提供由国家确定的认证机构出具的、处于有效期之内的节能产品认证证书的原件扫描件或“全国认证认可信息公共服务平台”（http://cx.cnca.cn）的认证信息截图，否则作无效投标处理。具体要求详见第五章符合性审查表。</w:t>
      </w:r>
    </w:p>
    <w:p w14:paraId="0AC501D9">
      <w:pPr>
        <w:jc w:val="left"/>
        <w:rPr>
          <w:rFonts w:hint="eastAsia" w:ascii="Calibri" w:hAnsi="Calibri" w:eastAsia="宋体" w:cs="Times New Roman"/>
          <w:lang w:val="en-US" w:eastAsia="zh-Hans"/>
        </w:rPr>
      </w:pPr>
      <w:r>
        <w:rPr>
          <w:rFonts w:hint="eastAsia" w:ascii="仿宋_GB2312" w:hAnsi="仿宋_GB2312" w:eastAsia="仿宋_GB2312" w:cs="仿宋_GB2312"/>
          <w:b/>
          <w:lang w:val="en-US" w:eastAsia="zh-Hans"/>
        </w:rPr>
        <w:t>本项目涉及优先采购节能产品：</w:t>
      </w:r>
    </w:p>
    <w:p w14:paraId="53CB6450">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E39E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A08CFE">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序号</w:t>
            </w:r>
          </w:p>
        </w:tc>
        <w:tc>
          <w:tcPr>
            <w:tcW w:w="2492" w:type="dxa"/>
          </w:tcPr>
          <w:p w14:paraId="0E0E735C">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采购品目名称</w:t>
            </w:r>
          </w:p>
        </w:tc>
        <w:tc>
          <w:tcPr>
            <w:tcW w:w="2492" w:type="dxa"/>
          </w:tcPr>
          <w:p w14:paraId="64AB6650">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标的名称</w:t>
            </w:r>
          </w:p>
        </w:tc>
        <w:tc>
          <w:tcPr>
            <w:tcW w:w="2492" w:type="dxa"/>
          </w:tcPr>
          <w:p w14:paraId="0A6E3D63">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产品名称</w:t>
            </w:r>
          </w:p>
        </w:tc>
      </w:tr>
      <w:tr w14:paraId="6FE24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4A90156">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不涉及</w:t>
            </w:r>
          </w:p>
        </w:tc>
      </w:tr>
    </w:tbl>
    <w:p w14:paraId="6298CEED">
      <w:pPr>
        <w:ind w:firstLine="480"/>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注：响应产品属于《节能产品政府采购品目清单》中优先采购的产品，投标人提供由国家确定的认证机构出具的、处于有效期之内的节能产品认证证书的原件扫描件或“全国认证认可信息公共服务平台”（http://cx.cnca.cn）的认证信息截图，可以享受优先采购政策。具体要求详见第五章规定。</w:t>
      </w:r>
    </w:p>
    <w:p w14:paraId="5130032B">
      <w:pPr>
        <w:jc w:val="left"/>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本项目涉及优先采购环境标志产品：</w:t>
      </w:r>
    </w:p>
    <w:p w14:paraId="56314354">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CFF0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0035EC">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序号</w:t>
            </w:r>
          </w:p>
        </w:tc>
        <w:tc>
          <w:tcPr>
            <w:tcW w:w="2492" w:type="dxa"/>
          </w:tcPr>
          <w:p w14:paraId="40B1370F">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采购品目名称</w:t>
            </w:r>
          </w:p>
        </w:tc>
        <w:tc>
          <w:tcPr>
            <w:tcW w:w="2492" w:type="dxa"/>
          </w:tcPr>
          <w:p w14:paraId="1D2494B0">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标的名称</w:t>
            </w:r>
          </w:p>
        </w:tc>
        <w:tc>
          <w:tcPr>
            <w:tcW w:w="2492" w:type="dxa"/>
          </w:tcPr>
          <w:p w14:paraId="3A287512">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产品名称</w:t>
            </w:r>
          </w:p>
        </w:tc>
      </w:tr>
      <w:tr w14:paraId="66AD9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EA3DE4D">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不涉及</w:t>
            </w:r>
          </w:p>
        </w:tc>
      </w:tr>
    </w:tbl>
    <w:p w14:paraId="7594C38E">
      <w:pPr>
        <w:ind w:firstLine="480"/>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注：响应产品属于《环境标志产品政府采购品目清单》中的产品，投标人提供由国家确定的认证机构出具的、处于有效期之内的环境标志产品认证证书的原件扫描件或“全国认证认可信息公共服务平台”（http://cx.cnca.cn）的认证信息截图，可以享受优先采购政策。具体要求详见第五章规定。</w:t>
      </w:r>
    </w:p>
    <w:p w14:paraId="71A01EDF">
      <w:pPr>
        <w:jc w:val="left"/>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3.2.技术要求</w:t>
      </w:r>
    </w:p>
    <w:p w14:paraId="17F0B0F6">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267C55A5">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标的名称：体育实时翻译系统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B25D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A06FB4">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序号</w:t>
            </w:r>
          </w:p>
        </w:tc>
        <w:tc>
          <w:tcPr>
            <w:tcW w:w="581" w:type="dxa"/>
          </w:tcPr>
          <w:p w14:paraId="2FD2DDB1">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符号标识</w:t>
            </w:r>
          </w:p>
        </w:tc>
        <w:tc>
          <w:tcPr>
            <w:tcW w:w="1495" w:type="dxa"/>
          </w:tcPr>
          <w:p w14:paraId="443586B0">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技术要求名称</w:t>
            </w:r>
          </w:p>
        </w:tc>
        <w:tc>
          <w:tcPr>
            <w:tcW w:w="5814" w:type="dxa"/>
          </w:tcPr>
          <w:p w14:paraId="3130BE38">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技术参数与性能指标</w:t>
            </w:r>
          </w:p>
        </w:tc>
      </w:tr>
      <w:tr w14:paraId="7F382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0FE0B1">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w:t>
            </w:r>
          </w:p>
        </w:tc>
        <w:tc>
          <w:tcPr>
            <w:tcW w:w="581" w:type="dxa"/>
          </w:tcPr>
          <w:p w14:paraId="5643AF2B">
            <w:pPr>
              <w:rPr>
                <w:rFonts w:ascii="Calibri" w:hAnsi="Calibri" w:eastAsia="宋体" w:cs="Times New Roman"/>
              </w:rPr>
            </w:pPr>
          </w:p>
        </w:tc>
        <w:tc>
          <w:tcPr>
            <w:tcW w:w="1495" w:type="dxa"/>
          </w:tcPr>
          <w:p w14:paraId="0A8A2362">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技术要求</w:t>
            </w:r>
          </w:p>
        </w:tc>
        <w:tc>
          <w:tcPr>
            <w:tcW w:w="5814" w:type="dxa"/>
          </w:tcPr>
          <w:p w14:paraId="22A60EC6">
            <w:pPr>
              <w:ind w:left="-420" w:firstLine="420"/>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★（一）总体质量要求</w:t>
            </w:r>
          </w:p>
          <w:p w14:paraId="742FABD8">
            <w:pPr>
              <w:ind w:firstLine="480"/>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1、定制产品的知识产权归采购人所有，投标人须协助采购人完成相关知识产权的申请。</w:t>
            </w:r>
          </w:p>
          <w:p w14:paraId="6DD8909F">
            <w:pPr>
              <w:ind w:firstLine="480"/>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2、投标人须提供符合要求的定制化体育实时翻译系统，系统运行稳定，无缺陷或故障，且权属清楚，不得侵害他人的知识产权。产品来源渠道必须合法，不得以次充好。同时，投标人应根据国家有关规定、厂家服务承诺及采购单位的要求，提供完善的售后技术支持与服务。</w:t>
            </w:r>
          </w:p>
          <w:p w14:paraId="631AEC04">
            <w:pPr>
              <w:ind w:firstLine="480"/>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3、系统在质保期内出现非人为因素导致的质量问题，投标人应负责维修，费用由投标人承担。采购人有权对系统的开发、测试及部署过程进行监督，确保质量符合要求。</w:t>
            </w:r>
          </w:p>
          <w:p w14:paraId="7B381EA6">
            <w:pPr>
              <w:ind w:firstLine="480"/>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4、投标人交付的系统应通过严格的质量检测，并附带完整的验收报告，确保符合采购需求。</w:t>
            </w:r>
          </w:p>
          <w:p w14:paraId="6B14900E">
            <w:pPr>
              <w:ind w:left="-420" w:firstLine="420"/>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（二）具体要求</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591"/>
              <w:gridCol w:w="4462"/>
            </w:tblGrid>
            <w:tr w14:paraId="2CE9DF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8308033">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21"/>
                      <w:lang w:val="en-US" w:eastAsia="zh-Hans"/>
                    </w:rPr>
                    <w:t>序号</w:t>
                  </w:r>
                </w:p>
              </w:tc>
              <w:tc>
                <w:tcPr>
                  <w:tcW w:w="6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BFD3013">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21"/>
                      <w:lang w:val="en-US" w:eastAsia="zh-Hans"/>
                    </w:rPr>
                    <w:t>标的名称</w:t>
                  </w:r>
                </w:p>
              </w:tc>
              <w:tc>
                <w:tcPr>
                  <w:tcW w:w="47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A9492BD">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21"/>
                      <w:lang w:val="en-US" w:eastAsia="zh-Hans"/>
                    </w:rPr>
                    <w:t>技术参数要求</w:t>
                  </w:r>
                </w:p>
              </w:tc>
            </w:tr>
            <w:tr w14:paraId="1CFCD9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FC23CD">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22"/>
                      <w:lang w:val="en-US" w:eastAsia="zh-Hans"/>
                    </w:rPr>
                    <w:t>1</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6CCFE7">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22"/>
                      <w:lang w:val="en-US" w:eastAsia="zh-Hans"/>
                    </w:rPr>
                    <w:t>体育实时翻译系统</w:t>
                  </w:r>
                </w:p>
              </w:tc>
              <w:tc>
                <w:tcPr>
                  <w:tcW w:w="4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B1D40E">
                  <w:pPr>
                    <w:jc w:val="left"/>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（一）翻译模型</w:t>
                  </w:r>
                </w:p>
                <w:p w14:paraId="05E752F1">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1)★支持英文到中文、中文到英文体育翻译模型的定制，支持本地化部署（部署环境： CPU</w:t>
                  </w:r>
                  <w:r>
                    <w:rPr>
                      <w:rFonts w:hint="eastAsia" w:ascii="仿宋_GB2312" w:hAnsi="仿宋_GB2312" w:eastAsia="仿宋_GB2312" w:cs="仿宋_GB2312"/>
                      <w:sz w:val="19"/>
                      <w:lang w:val="en-US" w:eastAsia="zh-Hans"/>
                    </w:rPr>
                    <w:t xml:space="preserve"> </w:t>
                  </w:r>
                  <w:r>
                    <w:rPr>
                      <w:rFonts w:hint="eastAsia" w:ascii="仿宋_GB2312" w:hAnsi="仿宋_GB2312" w:eastAsia="仿宋_GB2312" w:cs="仿宋_GB2312"/>
                      <w:sz w:val="24"/>
                      <w:lang w:val="en-US" w:eastAsia="zh-Hans"/>
                    </w:rPr>
                    <w:t>48核 2.6GHz以上；内存64GB以上；GPU 32GB 以上,局域网或校园网或其他网络）。</w:t>
                  </w:r>
                </w:p>
                <w:p w14:paraId="17F89FBE">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2)▲英文到中文体育翻译定制模型一套，质量BLEU不低于50，翻译速度每分钟不低于1000字符。</w:t>
                  </w:r>
                </w:p>
                <w:p w14:paraId="761273DA">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3)▲中文到英文体育翻译定制模型一套，质量BLEU不低于50，翻译速度每分钟不低于1000字符。</w:t>
                  </w:r>
                </w:p>
                <w:p w14:paraId="5FD41FF8">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4)体育实时翻译定制模块一套，支持文本和语音的输入和翻译；</w:t>
                  </w:r>
                </w:p>
                <w:p w14:paraId="741209DD">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5)系统支持市面主流浏览器登录，至少包括谷歌Chrome、Edge、Firefox和360浏览器等。</w:t>
                  </w:r>
                </w:p>
                <w:p w14:paraId="4EC79C64">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6)自主可控的国产软件，翻译引擎采用国产自主研发的深度学习平台。</w:t>
                  </w:r>
                </w:p>
                <w:p w14:paraId="0865BC89">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7)▲支持翻译引擎再训练能力，保证翻译效果持续更新。支持创建、管理翻译训练项目；可设置项目名称和所属领域；可删除创建的项目，模型部署时不允许删除。</w:t>
                  </w:r>
                </w:p>
                <w:p w14:paraId="4465F22D">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8)▲增量训练：在初次训练后，可对模型使用增量语料进行二次训练，不断优化模型翻译结果。</w:t>
                  </w:r>
                </w:p>
                <w:p w14:paraId="00B16DAD">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9)▲支持基于对齐语料，可选择训练集、测试集和干预集，一键进行训练学习。支持语料批量上传和语料管理；可将语料分为训练集、测试集和干预集。如测试集语料数量过少，则系统自动从训练集中抽取语料；可查看上传语料信息，包括源语言和目标语言，语料支持去重、过滤错误条目，导入语料后，显示语料条目数。</w:t>
                  </w:r>
                </w:p>
                <w:p w14:paraId="0FD68BE9">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10)自动评估，针对模型训练由机器给出评估BLEU值。</w:t>
                  </w:r>
                </w:p>
                <w:p w14:paraId="68C4FC13">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11)模型测试：可部署到沙盒环境，以供用户测试模型翻译效果。</w:t>
                  </w:r>
                </w:p>
                <w:p w14:paraId="14EBA128">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12)历史版本：可以看到过往训练的版本，并部署相应版本。</w:t>
                  </w:r>
                </w:p>
                <w:p w14:paraId="7DFFA626">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13)训练日志：可查看训练过程中生成的日志，便于问题追溯。</w:t>
                  </w:r>
                </w:p>
                <w:p w14:paraId="7F59F7AF">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14)模型部署：将模型部署为API，便于接入到辅助翻译工具或第三方软件中</w:t>
                  </w:r>
                </w:p>
                <w:p w14:paraId="1D17A684">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15)文本翻译API接口：基于HTTP协议的翻译API接口，可以集成嵌入到第三方的业务平台或其他应用系统中。</w:t>
                  </w:r>
                </w:p>
                <w:p w14:paraId="5D297F0E">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16)文档翻译API接口翻译：文本翻译，译文中可以保留格式。</w:t>
                  </w:r>
                </w:p>
                <w:p w14:paraId="29007848">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17)术语API接口：提供用户术语词典操作的相关API接口，保证机器翻译译文中术语翻译的准确性和一致性。</w:t>
                  </w:r>
                </w:p>
                <w:p w14:paraId="5F77CC67">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18)翻译记忆API接口：提供用户翻译记忆操作的相关接口，通过API调用将人工翻译的正确译文实时添加到翻译系统中的翻译记忆库中，避免机器翻译重复犯错。</w:t>
                  </w:r>
                </w:p>
                <w:p w14:paraId="0CC50D33">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19)▲增量训练API接口：便于和现有系统对接开发，提供训练能力。</w:t>
                  </w:r>
                </w:p>
                <w:p w14:paraId="72A99C2A">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20)支持使用术语干预机器翻译结果。</w:t>
                  </w:r>
                </w:p>
                <w:p w14:paraId="7F0E620E">
                  <w:pPr>
                    <w:jc w:val="left"/>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（二）文档翻译平台</w:t>
                  </w:r>
                </w:p>
                <w:p w14:paraId="7918D477">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21)★ 具备文档翻译平台(网页)，支持本地化部署；（部署环境： CPU</w:t>
                  </w:r>
                  <w:r>
                    <w:rPr>
                      <w:rFonts w:hint="eastAsia" w:ascii="仿宋_GB2312" w:hAnsi="仿宋_GB2312" w:eastAsia="仿宋_GB2312" w:cs="仿宋_GB2312"/>
                      <w:sz w:val="19"/>
                      <w:lang w:val="en-US" w:eastAsia="zh-Hans"/>
                    </w:rPr>
                    <w:t xml:space="preserve"> </w:t>
                  </w:r>
                  <w:r>
                    <w:rPr>
                      <w:rFonts w:hint="eastAsia" w:ascii="仿宋_GB2312" w:hAnsi="仿宋_GB2312" w:eastAsia="仿宋_GB2312" w:cs="仿宋_GB2312"/>
                      <w:sz w:val="24"/>
                      <w:lang w:val="en-US" w:eastAsia="zh-Hans"/>
                    </w:rPr>
                    <w:t>48核 2.6GHz以上；内存64GB以上；局域网或校园网或其他网络）。</w:t>
                  </w:r>
                </w:p>
                <w:p w14:paraId="4E20ABE5">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22)定制化设计体育AI 翻译平台界面；</w:t>
                  </w:r>
                </w:p>
                <w:p w14:paraId="40D3450A">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23)在源语端输入文本，目标语端自动输出译文、具有原文语种自动识别、原文清空、译文复制、双语高亮等功能，每次翻译字符数限制不低于5000字符；</w:t>
                  </w:r>
                </w:p>
                <w:p w14:paraId="72B078DD">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24)▲具备术语干预和记忆库匹配；具备在翻译界面将术语和翻译句对添加到术语库或记忆库；</w:t>
                  </w:r>
                </w:p>
                <w:p w14:paraId="27DFE31C">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25)支持文档格式要求：pdf，docx、txt、xlsx、xls、ppt、pptx、html等。翻译前可指定术语库、记忆库配置。下载要求：支持多种格式选择下载，如双语对照格式、docx格式下载等。支持原文和译文对照预览。</w:t>
                  </w:r>
                </w:p>
                <w:p w14:paraId="56FB07DC">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26)▲ 支持在预览同时进行校对。</w:t>
                  </w:r>
                </w:p>
                <w:p w14:paraId="2E0CD2CF">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27)具备多个子领域建库能力、可批量导入、导出、删除。支持管理员、语料管理员和普通用户区分，对系统账号进行管理。</w:t>
                  </w:r>
                </w:p>
                <w:p w14:paraId="3B260F05">
                  <w:pPr>
                    <w:jc w:val="left"/>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（三）语音翻译App</w:t>
                  </w:r>
                </w:p>
                <w:p w14:paraId="1D1AD344">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28)★提供App，支持语音翻译。</w:t>
                  </w:r>
                </w:p>
                <w:p w14:paraId="691735E7">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29)▲支持安卓、iOS和其他国产操作系统等操作系统</w:t>
                  </w:r>
                </w:p>
                <w:p w14:paraId="6864276D">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30)▲语言支持中英，并可扩展到西班牙语、法语、阿拉伯语、俄语、葡萄牙语等；</w:t>
                  </w:r>
                </w:p>
                <w:p w14:paraId="30514D88">
                  <w:pPr>
                    <w:jc w:val="left"/>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31)▲支持多人语音对话，用户可以选择输入输出的语言，其他用户输入的其他语言都将被翻译成自己的语言。</w:t>
                  </w:r>
                </w:p>
                <w:p w14:paraId="252CB404">
                  <w:pPr>
                    <w:jc w:val="left"/>
                    <w:rPr>
                      <w:rFonts w:hint="eastAsia" w:ascii="Calibri" w:hAnsi="Calibri" w:eastAsia="宋体" w:cs="Times New Roman"/>
                      <w:lang w:val="en-US" w:eastAsia="zh-Hans"/>
                    </w:rPr>
                  </w:pPr>
                  <w:r>
                    <w:rPr>
                      <w:rFonts w:hint="eastAsia" w:ascii="仿宋_GB2312" w:hAnsi="仿宋_GB2312" w:eastAsia="仿宋_GB2312" w:cs="仿宋_GB2312"/>
                      <w:sz w:val="19"/>
                      <w:lang w:val="en-US" w:eastAsia="zh-Hans"/>
                    </w:rPr>
                    <w:t>注意：1.带“★”号为实质性要求，投标人若未满足的，将被视为无效投标。带“▲”项作为重要指标要求，需现场逐条演示，如未满足将根据评分办法规定分别进行扣分。</w:t>
                  </w:r>
                </w:p>
              </w:tc>
            </w:tr>
          </w:tbl>
          <w:p w14:paraId="269B26E9">
            <w:pPr>
              <w:rPr>
                <w:rFonts w:ascii="Calibri" w:hAnsi="Calibri" w:eastAsia="宋体" w:cs="Times New Roman"/>
              </w:rPr>
            </w:pPr>
          </w:p>
        </w:tc>
      </w:tr>
    </w:tbl>
    <w:p w14:paraId="02D58F13">
      <w:pPr>
        <w:jc w:val="left"/>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3.3.服务要求</w:t>
      </w:r>
    </w:p>
    <w:p w14:paraId="5A6454E9">
      <w:pPr>
        <w:jc w:val="left"/>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3.3.1.服务内容要求</w:t>
      </w:r>
    </w:p>
    <w:p w14:paraId="05641849">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2092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1EDC98">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 xml:space="preserve"> 序号</w:t>
            </w:r>
          </w:p>
        </w:tc>
        <w:tc>
          <w:tcPr>
            <w:tcW w:w="581" w:type="dxa"/>
          </w:tcPr>
          <w:p w14:paraId="197941AF">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 xml:space="preserve"> 符号标识</w:t>
            </w:r>
          </w:p>
        </w:tc>
        <w:tc>
          <w:tcPr>
            <w:tcW w:w="1495" w:type="dxa"/>
          </w:tcPr>
          <w:p w14:paraId="36D14792">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 xml:space="preserve"> 服务要求名称</w:t>
            </w:r>
          </w:p>
        </w:tc>
        <w:tc>
          <w:tcPr>
            <w:tcW w:w="5814" w:type="dxa"/>
          </w:tcPr>
          <w:p w14:paraId="3DFBCB9A">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 xml:space="preserve"> 服务要求内容</w:t>
            </w:r>
          </w:p>
        </w:tc>
      </w:tr>
      <w:tr w14:paraId="75F28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B0B37C">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w:t>
            </w:r>
          </w:p>
        </w:tc>
        <w:tc>
          <w:tcPr>
            <w:tcW w:w="581" w:type="dxa"/>
          </w:tcPr>
          <w:p w14:paraId="18B0BC59">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w:t>
            </w:r>
          </w:p>
        </w:tc>
        <w:tc>
          <w:tcPr>
            <w:tcW w:w="1495" w:type="dxa"/>
          </w:tcPr>
          <w:p w14:paraId="3786D3C6">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质量要求</w:t>
            </w:r>
          </w:p>
        </w:tc>
        <w:tc>
          <w:tcPr>
            <w:tcW w:w="5814" w:type="dxa"/>
          </w:tcPr>
          <w:p w14:paraId="69F8D5DC">
            <w:pPr>
              <w:jc w:val="both"/>
              <w:rPr>
                <w:rFonts w:hint="eastAsia" w:ascii="Calibri" w:hAnsi="Calibri" w:eastAsia="宋体" w:cs="Times New Roman"/>
                <w:lang w:val="en-US" w:eastAsia="zh-Hans"/>
              </w:rPr>
            </w:pPr>
            <w:r>
              <w:rPr>
                <w:rFonts w:hint="eastAsia" w:ascii="仿宋_GB2312" w:hAnsi="仿宋_GB2312" w:eastAsia="仿宋_GB2312" w:cs="仿宋_GB2312"/>
                <w:sz w:val="24"/>
                <w:lang w:val="en-US" w:eastAsia="zh-Hans"/>
              </w:rPr>
              <w:t>货物必须符合或优于国家（行业）标准，以及本项目招标文件的质量要求和技术指标与出厂标准。</w:t>
            </w:r>
          </w:p>
        </w:tc>
      </w:tr>
    </w:tbl>
    <w:p w14:paraId="150C4902">
      <w:pPr>
        <w:jc w:val="left"/>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3.3.2.商务要求</w:t>
      </w:r>
    </w:p>
    <w:p w14:paraId="0B02FC90">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ADF0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6EDF0D">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序号</w:t>
            </w:r>
          </w:p>
        </w:tc>
        <w:tc>
          <w:tcPr>
            <w:tcW w:w="581" w:type="dxa"/>
          </w:tcPr>
          <w:p w14:paraId="25385566">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符号标识</w:t>
            </w:r>
          </w:p>
        </w:tc>
        <w:tc>
          <w:tcPr>
            <w:tcW w:w="1495" w:type="dxa"/>
          </w:tcPr>
          <w:p w14:paraId="7D45FDCD">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商务要求名称</w:t>
            </w:r>
          </w:p>
        </w:tc>
        <w:tc>
          <w:tcPr>
            <w:tcW w:w="5814" w:type="dxa"/>
          </w:tcPr>
          <w:p w14:paraId="2A5C0CC8">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商务要求内容</w:t>
            </w:r>
          </w:p>
        </w:tc>
      </w:tr>
      <w:tr w14:paraId="04F53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B2CA15">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w:t>
            </w:r>
          </w:p>
        </w:tc>
        <w:tc>
          <w:tcPr>
            <w:tcW w:w="581" w:type="dxa"/>
          </w:tcPr>
          <w:p w14:paraId="5708C9E7">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w:t>
            </w:r>
          </w:p>
        </w:tc>
        <w:tc>
          <w:tcPr>
            <w:tcW w:w="1495" w:type="dxa"/>
          </w:tcPr>
          <w:p w14:paraId="19DC8788">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交货时间</w:t>
            </w:r>
          </w:p>
        </w:tc>
        <w:tc>
          <w:tcPr>
            <w:tcW w:w="5814" w:type="dxa"/>
          </w:tcPr>
          <w:p w14:paraId="26F3E85B">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签订合同后30日内。</w:t>
            </w:r>
          </w:p>
        </w:tc>
      </w:tr>
      <w:tr w14:paraId="72EAC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2A3EA2">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2</w:t>
            </w:r>
          </w:p>
        </w:tc>
        <w:tc>
          <w:tcPr>
            <w:tcW w:w="581" w:type="dxa"/>
          </w:tcPr>
          <w:p w14:paraId="10BBB170">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w:t>
            </w:r>
          </w:p>
        </w:tc>
        <w:tc>
          <w:tcPr>
            <w:tcW w:w="1495" w:type="dxa"/>
          </w:tcPr>
          <w:p w14:paraId="6BB5774C">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交货地点</w:t>
            </w:r>
          </w:p>
        </w:tc>
        <w:tc>
          <w:tcPr>
            <w:tcW w:w="5814" w:type="dxa"/>
          </w:tcPr>
          <w:p w14:paraId="269105FA">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成都市东部新区环湖北路1942号成都体育学院</w:t>
            </w:r>
          </w:p>
        </w:tc>
      </w:tr>
      <w:tr w14:paraId="028E2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168017">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3</w:t>
            </w:r>
          </w:p>
        </w:tc>
        <w:tc>
          <w:tcPr>
            <w:tcW w:w="581" w:type="dxa"/>
          </w:tcPr>
          <w:p w14:paraId="0035F1A9">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w:t>
            </w:r>
          </w:p>
        </w:tc>
        <w:tc>
          <w:tcPr>
            <w:tcW w:w="1495" w:type="dxa"/>
          </w:tcPr>
          <w:p w14:paraId="6AEBD39D">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支付方式</w:t>
            </w:r>
          </w:p>
        </w:tc>
        <w:tc>
          <w:tcPr>
            <w:tcW w:w="5814" w:type="dxa"/>
          </w:tcPr>
          <w:p w14:paraId="012ED195">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一次付清</w:t>
            </w:r>
          </w:p>
        </w:tc>
      </w:tr>
      <w:tr w14:paraId="095BF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294466">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4</w:t>
            </w:r>
          </w:p>
        </w:tc>
        <w:tc>
          <w:tcPr>
            <w:tcW w:w="581" w:type="dxa"/>
          </w:tcPr>
          <w:p w14:paraId="72AE8EC0">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w:t>
            </w:r>
          </w:p>
        </w:tc>
        <w:tc>
          <w:tcPr>
            <w:tcW w:w="1495" w:type="dxa"/>
          </w:tcPr>
          <w:p w14:paraId="728C4021">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付款进度安排</w:t>
            </w:r>
          </w:p>
        </w:tc>
        <w:tc>
          <w:tcPr>
            <w:tcW w:w="5814" w:type="dxa"/>
          </w:tcPr>
          <w:p w14:paraId="0BBD29A4">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验收合格后，中标人向采购人提供合法、有效、完整的完税发票及凭证资料，30日内完成全额货款的支付结算。因发票不合格或瑕疵给采购人造成的一切损失(包括但不限于税务损失)由中标人承担。，达到付款条件起30日内，支付合同总金额的100.00%</w:t>
            </w:r>
          </w:p>
        </w:tc>
      </w:tr>
      <w:tr w14:paraId="3BB16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DB8B7A">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5</w:t>
            </w:r>
          </w:p>
        </w:tc>
        <w:tc>
          <w:tcPr>
            <w:tcW w:w="581" w:type="dxa"/>
          </w:tcPr>
          <w:p w14:paraId="120B0AA7">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w:t>
            </w:r>
          </w:p>
        </w:tc>
        <w:tc>
          <w:tcPr>
            <w:tcW w:w="1495" w:type="dxa"/>
          </w:tcPr>
          <w:p w14:paraId="08AADD5A">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验收、交付标准和方法</w:t>
            </w:r>
          </w:p>
        </w:tc>
        <w:tc>
          <w:tcPr>
            <w:tcW w:w="5814" w:type="dxa"/>
          </w:tcPr>
          <w:p w14:paraId="559E16DC">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按照《财政部关于进一步加强政府采购需求和履约验收管理的指导意见》(财库〔2016〕205号)、《成都体育学院货物与服务验收管理办法（试行）》（成体院〔2022〕279 号）（签订合同时提供）的要求进行验收。按国家有关规定以及采购人招标文件的质量要求和技术指标、投标人的投标文件及承诺与本项目合同约定标准进行验收；双方如对质量要求和技术指标的约定标准有相互抵触或异议的事项，由采购人在招标文件与投标文件中按质量要求和技术指标比较优胜的原则确定该项的约定标准进行验收。</w:t>
            </w:r>
          </w:p>
        </w:tc>
      </w:tr>
      <w:tr w14:paraId="230E4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D4DCD0">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6</w:t>
            </w:r>
          </w:p>
        </w:tc>
        <w:tc>
          <w:tcPr>
            <w:tcW w:w="581" w:type="dxa"/>
          </w:tcPr>
          <w:p w14:paraId="7D23A007">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w:t>
            </w:r>
          </w:p>
        </w:tc>
        <w:tc>
          <w:tcPr>
            <w:tcW w:w="1495" w:type="dxa"/>
          </w:tcPr>
          <w:p w14:paraId="68B48D66">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质量保修范围和保修期</w:t>
            </w:r>
          </w:p>
        </w:tc>
        <w:tc>
          <w:tcPr>
            <w:tcW w:w="5814" w:type="dxa"/>
          </w:tcPr>
          <w:p w14:paraId="04436E16">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质保期为验收合格之日起3年，质保期内出现质量问题，提供7*24小时线上服务，承诺24小时内解决问题。如需要现场服务，需要在4小时内抵达现场。提供一次以上技术培训，长期技术支持。所有设备和软件提供3年维护和向采购人提供在硬件许可条件下的软件升级服务。以上费用均包含在本次投标报价内。</w:t>
            </w:r>
          </w:p>
        </w:tc>
      </w:tr>
      <w:tr w14:paraId="11A68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C92DE6">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7</w:t>
            </w:r>
          </w:p>
        </w:tc>
        <w:tc>
          <w:tcPr>
            <w:tcW w:w="581" w:type="dxa"/>
          </w:tcPr>
          <w:p w14:paraId="5AF21BCB">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w:t>
            </w:r>
          </w:p>
        </w:tc>
        <w:tc>
          <w:tcPr>
            <w:tcW w:w="1495" w:type="dxa"/>
          </w:tcPr>
          <w:p w14:paraId="45ABC904">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违约责任与解决争议的方法</w:t>
            </w:r>
          </w:p>
        </w:tc>
        <w:tc>
          <w:tcPr>
            <w:tcW w:w="5814" w:type="dxa"/>
          </w:tcPr>
          <w:p w14:paraId="4385604B">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按照附件合同模板中的约定</w:t>
            </w:r>
          </w:p>
        </w:tc>
      </w:tr>
      <w:tr w14:paraId="5397E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4E23BA">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8</w:t>
            </w:r>
          </w:p>
        </w:tc>
        <w:tc>
          <w:tcPr>
            <w:tcW w:w="581" w:type="dxa"/>
          </w:tcPr>
          <w:p w14:paraId="480AB8E2">
            <w:pPr>
              <w:jc w:val="cente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w:t>
            </w:r>
          </w:p>
        </w:tc>
        <w:tc>
          <w:tcPr>
            <w:tcW w:w="1495" w:type="dxa"/>
          </w:tcPr>
          <w:p w14:paraId="4EC66C82">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包装方式及运输</w:t>
            </w:r>
          </w:p>
        </w:tc>
        <w:tc>
          <w:tcPr>
            <w:tcW w:w="5814" w:type="dxa"/>
          </w:tcPr>
          <w:p w14:paraId="100EA47C">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06473565">
      <w:pPr>
        <w:jc w:val="left"/>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3.4.其他要求</w:t>
      </w:r>
    </w:p>
    <w:p w14:paraId="31E5DF62">
      <w:pPr>
        <w:jc w:val="lef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★1.合同签订中涉及的违约责任、合同解除等严格按附件合同模板中的约定执行，附件合同模板除按照招标文件、投标文件和中标通知书等进行补充、完善外，合同中条款非经采购人同意不得更改。 2.供应商需针对本项目提供技术方案、技术力量、履约能力、售后服务，具体详见5.4.2.评标细则及标准。</w:t>
      </w:r>
    </w:p>
    <w:p w14:paraId="3AE98FA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FF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2025-09-17T06:52:52Z</dcterms:created>
  <dc:creator>admin</dc:creator>
  <cp:lastModifiedBy>ZYZB</cp:lastModifiedBy>
  <dcterms:modified xsi:type="dcterms:W3CDTF">2025-09-17T06:53:01Z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eyJoZGlkIjoiYjg0MjcwYzMzYTk3ODdhZjIxNDJhMTdjMzNjOGNkZjEiLCJ1c2VySWQiOiI0MzQ2Mjg5MzUifQ==</vt:lpwstr>
  </property>
  <property fmtid="{D5CDD505-2E9C-101B-9397-08002B2CF9AE}" pid="4" name="ICV">
    <vt:lpwstr>7FC4D1F260E849FCA57E20D3CE995BCF_12</vt:lpwstr>
  </property>
</Properties>
</file>