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95D665">
      <w:pPr>
        <w:spacing w:line="480" w:lineRule="exact"/>
        <w:jc w:val="center"/>
        <w:rPr>
          <w:rFonts w:ascii="仿宋_GB2312" w:hAnsi="仿宋" w:eastAsia="仿宋_GB2312" w:cs="仿宋_GB2312"/>
          <w:b/>
          <w:color w:val="auto"/>
          <w:sz w:val="32"/>
          <w:szCs w:val="32"/>
          <w:highlight w:val="none"/>
        </w:rPr>
      </w:pPr>
      <w:r>
        <w:rPr>
          <w:rFonts w:hint="eastAsia" w:ascii="仿宋_GB2312" w:eastAsia="仿宋_GB2312"/>
          <w:color w:val="auto"/>
          <w:highlight w:val="none"/>
        </w:rPr>
        <w:drawing>
          <wp:anchor distT="0" distB="0" distL="114300" distR="114300" simplePos="0" relativeHeight="251660288" behindDoc="0" locked="0" layoutInCell="1" allowOverlap="1">
            <wp:simplePos x="0" y="0"/>
            <wp:positionH relativeFrom="column">
              <wp:posOffset>5036185</wp:posOffset>
            </wp:positionH>
            <wp:positionV relativeFrom="paragraph">
              <wp:posOffset>6985</wp:posOffset>
            </wp:positionV>
            <wp:extent cx="810260" cy="838200"/>
            <wp:effectExtent l="0" t="0" r="1270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810260" cy="838200"/>
                    </a:xfrm>
                    <a:prstGeom prst="rect">
                      <a:avLst/>
                    </a:prstGeom>
                    <a:noFill/>
                    <a:ln>
                      <a:noFill/>
                    </a:ln>
                  </pic:spPr>
                </pic:pic>
              </a:graphicData>
            </a:graphic>
          </wp:anchor>
        </w:drawing>
      </w:r>
    </w:p>
    <w:p w14:paraId="1AB1ADE4">
      <w:pPr>
        <w:spacing w:line="360" w:lineRule="auto"/>
        <w:ind w:firstLine="260" w:firstLineChars="50"/>
        <w:jc w:val="center"/>
        <w:rPr>
          <w:rFonts w:ascii="仿宋_GB2312" w:hAnsi="仿宋" w:eastAsia="仿宋_GB2312" w:cs="仿宋_GB2312"/>
          <w:b/>
          <w:color w:val="auto"/>
          <w:sz w:val="52"/>
          <w:szCs w:val="52"/>
          <w:highlight w:val="none"/>
        </w:rPr>
      </w:pPr>
    </w:p>
    <w:p w14:paraId="019DFDDD">
      <w:pPr>
        <w:spacing w:after="249" w:line="259" w:lineRule="auto"/>
        <w:ind w:right="9"/>
        <w:jc w:val="center"/>
        <w:rPr>
          <w:rFonts w:ascii="方正大标宋简体" w:hAnsi="仿宋" w:eastAsia="方正大标宋简体"/>
          <w:color w:val="auto"/>
          <w:sz w:val="52"/>
          <w:highlight w:val="none"/>
        </w:rPr>
      </w:pPr>
      <w:r>
        <w:rPr>
          <w:rFonts w:hint="eastAsia" w:ascii="方正大标宋简体" w:hAnsi="仿宋" w:eastAsia="方正大标宋简体"/>
          <w:color w:val="auto"/>
          <w:sz w:val="52"/>
          <w:highlight w:val="none"/>
        </w:rPr>
        <w:t>辽宁省政府采购项目</w:t>
      </w:r>
    </w:p>
    <w:p w14:paraId="6D52B5B0">
      <w:pPr>
        <w:spacing w:line="360" w:lineRule="auto"/>
        <w:ind w:firstLine="120" w:firstLineChars="50"/>
        <w:jc w:val="center"/>
        <w:rPr>
          <w:rFonts w:ascii="仿宋_GB2312" w:hAnsi="仿宋" w:eastAsia="仿宋_GB2312" w:cs="仿宋_GB2312"/>
          <w:b/>
          <w:color w:val="auto"/>
          <w:sz w:val="24"/>
          <w:highlight w:val="none"/>
        </w:rPr>
      </w:pPr>
    </w:p>
    <w:p w14:paraId="46B25196">
      <w:pPr>
        <w:spacing w:line="360" w:lineRule="auto"/>
        <w:ind w:firstLine="120" w:firstLineChars="50"/>
        <w:jc w:val="center"/>
        <w:rPr>
          <w:rFonts w:ascii="仿宋_GB2312" w:hAnsi="仿宋" w:eastAsia="仿宋_GB2312" w:cs="仿宋_GB2312"/>
          <w:b/>
          <w:color w:val="auto"/>
          <w:sz w:val="24"/>
          <w:highlight w:val="none"/>
        </w:rPr>
      </w:pPr>
    </w:p>
    <w:p w14:paraId="4BC26DD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ascii="楷体_GB2312" w:hAnsi="仿宋" w:eastAsia="楷体_GB2312" w:cs="仿宋_GB2312"/>
          <w:bCs/>
          <w:color w:val="auto"/>
          <w:sz w:val="48"/>
          <w:szCs w:val="48"/>
          <w:highlight w:val="none"/>
        </w:rPr>
      </w:pPr>
      <w:r>
        <w:rPr>
          <w:rFonts w:hint="eastAsia" w:ascii="楷体_GB2312" w:hAnsi="仿宋" w:eastAsia="楷体_GB2312" w:cs="仿宋_GB2312"/>
          <w:bCs/>
          <w:color w:val="auto"/>
          <w:sz w:val="48"/>
          <w:szCs w:val="48"/>
          <w:highlight w:val="none"/>
        </w:rPr>
        <w:t>货物类公开招标</w:t>
      </w:r>
    </w:p>
    <w:p w14:paraId="36519FC5">
      <w:pPr>
        <w:spacing w:line="360" w:lineRule="auto"/>
        <w:ind w:firstLine="120" w:firstLineChars="50"/>
        <w:jc w:val="center"/>
        <w:rPr>
          <w:rFonts w:ascii="仿宋_GB2312" w:hAnsi="仿宋" w:eastAsia="仿宋_GB2312" w:cs="仿宋_GB2312"/>
          <w:b/>
          <w:color w:val="auto"/>
          <w:sz w:val="24"/>
          <w:highlight w:val="none"/>
        </w:rPr>
      </w:pPr>
    </w:p>
    <w:p w14:paraId="5AE250A6">
      <w:pPr>
        <w:spacing w:line="360" w:lineRule="auto"/>
        <w:ind w:firstLine="120" w:firstLineChars="50"/>
        <w:jc w:val="center"/>
        <w:rPr>
          <w:rFonts w:ascii="仿宋_GB2312" w:hAnsi="仿宋" w:eastAsia="仿宋_GB2312" w:cs="仿宋_GB2312"/>
          <w:b/>
          <w:color w:val="auto"/>
          <w:sz w:val="24"/>
          <w:highlight w:val="none"/>
        </w:rPr>
      </w:pPr>
    </w:p>
    <w:p w14:paraId="2699ECC7">
      <w:pPr>
        <w:bidi w:val="0"/>
        <w:rPr>
          <w:color w:val="auto"/>
          <w:highlight w:val="none"/>
        </w:rPr>
      </w:pPr>
    </w:p>
    <w:p w14:paraId="04A8F353">
      <w:pPr>
        <w:spacing w:line="360" w:lineRule="auto"/>
        <w:jc w:val="center"/>
        <w:rPr>
          <w:rFonts w:ascii="黑体" w:hAnsi="黑体" w:eastAsia="黑体" w:cs="仿宋_GB2312"/>
          <w:b/>
          <w:color w:val="auto"/>
          <w:sz w:val="100"/>
          <w:szCs w:val="100"/>
          <w:highlight w:val="none"/>
        </w:rPr>
      </w:pPr>
      <w:r>
        <w:rPr>
          <w:rFonts w:hint="eastAsia" w:ascii="黑体" w:hAnsi="黑体" w:eastAsia="黑体" w:cs="仿宋_GB2312"/>
          <w:b/>
          <w:color w:val="auto"/>
          <w:sz w:val="100"/>
          <w:szCs w:val="100"/>
          <w:highlight w:val="none"/>
        </w:rPr>
        <w:t>招 标 文 件</w:t>
      </w:r>
    </w:p>
    <w:p w14:paraId="6003B872">
      <w:pPr>
        <w:pStyle w:val="24"/>
        <w:ind w:left="0" w:leftChars="0" w:firstLine="0" w:firstLineChars="0"/>
        <w:jc w:val="left"/>
        <w:rPr>
          <w:color w:val="auto"/>
          <w:highlight w:val="none"/>
        </w:rPr>
      </w:pPr>
    </w:p>
    <w:p w14:paraId="2DF60ED1">
      <w:pPr>
        <w:spacing w:line="480" w:lineRule="exact"/>
        <w:jc w:val="center"/>
        <w:rPr>
          <w:rFonts w:ascii="仿宋_GB2312" w:hAnsi="仿宋" w:eastAsia="仿宋_GB2312" w:cs="仿宋_GB2312"/>
          <w:b/>
          <w:color w:val="auto"/>
          <w:sz w:val="24"/>
          <w:highlight w:val="none"/>
        </w:rPr>
      </w:pPr>
    </w:p>
    <w:p w14:paraId="5E8C8362">
      <w:pPr>
        <w:spacing w:line="480" w:lineRule="exact"/>
        <w:jc w:val="center"/>
        <w:rPr>
          <w:rFonts w:ascii="仿宋_GB2312" w:hAnsi="仿宋" w:eastAsia="仿宋_GB2312" w:cs="仿宋_GB2312"/>
          <w:b/>
          <w:color w:val="auto"/>
          <w:sz w:val="24"/>
          <w:highlight w:val="none"/>
        </w:rPr>
      </w:pPr>
    </w:p>
    <w:p w14:paraId="1FE48F5E">
      <w:pPr>
        <w:spacing w:line="480" w:lineRule="exact"/>
        <w:jc w:val="center"/>
        <w:rPr>
          <w:rFonts w:ascii="仿宋_GB2312" w:hAnsi="仿宋" w:eastAsia="仿宋_GB2312" w:cs="仿宋_GB2312"/>
          <w:b/>
          <w:color w:val="auto"/>
          <w:sz w:val="24"/>
          <w:highlight w:val="none"/>
        </w:rPr>
      </w:pPr>
    </w:p>
    <w:p w14:paraId="2D2C7280">
      <w:pPr>
        <w:pStyle w:val="24"/>
        <w:rPr>
          <w:color w:val="auto"/>
          <w:highlight w:val="none"/>
        </w:rPr>
      </w:pPr>
    </w:p>
    <w:p w14:paraId="1499E956">
      <w:pPr>
        <w:spacing w:line="360" w:lineRule="auto"/>
        <w:ind w:left="319" w:leftChars="152"/>
        <w:rPr>
          <w:rFonts w:hint="eastAsia" w:ascii="楷体_GB2312" w:hAnsi="仿宋" w:eastAsia="楷体_GB2312" w:cs="仿宋_GB2312"/>
          <w:bCs/>
          <w:color w:val="auto"/>
          <w:sz w:val="32"/>
          <w:szCs w:val="32"/>
          <w:highlight w:val="none"/>
        </w:rPr>
      </w:pPr>
    </w:p>
    <w:p w14:paraId="48F29D1B">
      <w:pPr>
        <w:spacing w:line="360" w:lineRule="auto"/>
        <w:ind w:left="1919" w:leftChars="152" w:hanging="1600" w:hangingChars="500"/>
        <w:rPr>
          <w:rFonts w:hint="eastAsia" w:ascii="楷体_GB2312" w:hAnsi="仿宋" w:eastAsia="楷体_GB2312" w:cs="仿宋_GB2312"/>
          <w:bCs/>
          <w:color w:val="auto"/>
          <w:w w:val="100"/>
          <w:sz w:val="32"/>
          <w:szCs w:val="32"/>
          <w:highlight w:val="none"/>
          <w:lang w:eastAsia="zh-CN"/>
        </w:rPr>
      </w:pPr>
      <w:r>
        <w:rPr>
          <w:rFonts w:hint="eastAsia" w:ascii="楷体_GB2312" w:hAnsi="仿宋" w:eastAsia="楷体_GB2312" w:cs="仿宋_GB2312"/>
          <w:bCs/>
          <w:color w:val="auto"/>
          <w:sz w:val="32"/>
          <w:szCs w:val="32"/>
          <w:highlight w:val="none"/>
        </w:rPr>
        <w:t>项目名称：</w:t>
      </w:r>
      <w:r>
        <w:rPr>
          <w:rFonts w:hint="eastAsia" w:ascii="楷体_GB2312" w:hAnsi="仿宋" w:eastAsia="楷体_GB2312" w:cs="仿宋_GB2312"/>
          <w:bCs/>
          <w:color w:val="auto"/>
          <w:w w:val="100"/>
          <w:sz w:val="32"/>
          <w:szCs w:val="32"/>
          <w:highlight w:val="none"/>
          <w:lang w:eastAsia="zh-CN"/>
        </w:rPr>
        <w:t>（ZCC）沈阳农业大学外语四六级口语</w:t>
      </w:r>
    </w:p>
    <w:p w14:paraId="01734010">
      <w:pPr>
        <w:spacing w:line="360" w:lineRule="auto"/>
        <w:ind w:left="1915" w:leftChars="912" w:firstLine="0" w:firstLineChars="0"/>
        <w:rPr>
          <w:rFonts w:hint="eastAsia" w:ascii="楷体_GB2312" w:hAnsi="仿宋" w:eastAsia="楷体_GB2312" w:cs="仿宋_GB2312"/>
          <w:bCs/>
          <w:color w:val="auto"/>
          <w:spacing w:val="-10"/>
          <w:sz w:val="32"/>
          <w:szCs w:val="32"/>
          <w:highlight w:val="none"/>
          <w:lang w:val="en-US" w:eastAsia="zh-CN"/>
        </w:rPr>
      </w:pPr>
      <w:r>
        <w:rPr>
          <w:rFonts w:hint="eastAsia" w:ascii="楷体_GB2312" w:hAnsi="仿宋" w:eastAsia="楷体_GB2312" w:cs="仿宋_GB2312"/>
          <w:bCs/>
          <w:color w:val="auto"/>
          <w:w w:val="100"/>
          <w:sz w:val="32"/>
          <w:szCs w:val="32"/>
          <w:highlight w:val="none"/>
          <w:lang w:eastAsia="zh-CN"/>
        </w:rPr>
        <w:t>考试平台采购建设项目</w:t>
      </w:r>
    </w:p>
    <w:p w14:paraId="4F775A15">
      <w:pPr>
        <w:spacing w:line="360" w:lineRule="auto"/>
        <w:ind w:firstLine="320" w:firstLineChars="100"/>
        <w:rPr>
          <w:rFonts w:hint="eastAsia" w:ascii="楷体_GB2312" w:hAnsi="仿宋" w:eastAsia="楷体_GB2312" w:cs="仿宋_GB2312"/>
          <w:bCs/>
          <w:color w:val="auto"/>
          <w:sz w:val="32"/>
          <w:szCs w:val="32"/>
          <w:highlight w:val="none"/>
          <w:lang w:eastAsia="zh-CN"/>
        </w:rPr>
      </w:pPr>
      <w:r>
        <w:rPr>
          <w:rFonts w:hint="eastAsia" w:ascii="楷体_GB2312" w:hAnsi="仿宋" w:eastAsia="楷体_GB2312" w:cs="仿宋_GB2312"/>
          <w:bCs/>
          <w:color w:val="auto"/>
          <w:sz w:val="32"/>
          <w:szCs w:val="32"/>
          <w:highlight w:val="none"/>
        </w:rPr>
        <w:t>项目编号：JH24-210000-16044</w:t>
      </w:r>
    </w:p>
    <w:p w14:paraId="11865D3D">
      <w:pPr>
        <w:spacing w:line="360" w:lineRule="auto"/>
        <w:ind w:firstLine="320" w:firstLineChars="100"/>
        <w:rPr>
          <w:rFonts w:ascii="楷体_GB2312" w:hAnsi="仿宋" w:eastAsia="楷体_GB2312" w:cs="仿宋_GB2312"/>
          <w:bCs/>
          <w:color w:val="auto"/>
          <w:sz w:val="32"/>
          <w:szCs w:val="40"/>
          <w:highlight w:val="none"/>
        </w:rPr>
        <w:sectPr>
          <w:headerReference r:id="rId3" w:type="default"/>
          <w:headerReference r:id="rId4" w:type="even"/>
          <w:footerReference r:id="rId5" w:type="even"/>
          <w:pgSz w:w="11906" w:h="16838"/>
          <w:pgMar w:top="1843" w:right="1800" w:bottom="1440" w:left="1800" w:header="851" w:footer="992" w:gutter="0"/>
          <w:cols w:space="720" w:num="1"/>
          <w:titlePg/>
          <w:docGrid w:type="linesAndChars" w:linePitch="312" w:charSpace="0"/>
        </w:sectPr>
      </w:pPr>
      <w:r>
        <w:rPr>
          <w:rFonts w:hint="eastAsia" w:ascii="楷体_GB2312" w:hAnsi="仿宋" w:eastAsia="楷体_GB2312" w:cs="仿宋_GB2312"/>
          <w:bCs/>
          <w:color w:val="auto"/>
          <w:sz w:val="32"/>
          <w:szCs w:val="32"/>
          <w:highlight w:val="none"/>
        </w:rPr>
        <w:t>编制单位：</w:t>
      </w:r>
      <w:r>
        <w:rPr>
          <w:rFonts w:hint="eastAsia" w:ascii="楷体_GB2312" w:hAnsi="仿宋" w:eastAsia="楷体_GB2312" w:cs="仿宋_GB2312"/>
          <w:bCs/>
          <w:color w:val="auto"/>
          <w:sz w:val="32"/>
          <w:szCs w:val="40"/>
          <w:highlight w:val="none"/>
        </w:rPr>
        <w:t>辽宁省沈抚公共资源交易服务有限公司</w:t>
      </w:r>
    </w:p>
    <w:p w14:paraId="25B9BDB9">
      <w:pPr>
        <w:jc w:val="center"/>
        <w:rPr>
          <w:rFonts w:ascii="黑体" w:hAnsi="黑体" w:eastAsia="黑体" w:cs="仿宋_GB2312"/>
          <w:b/>
          <w:bCs/>
          <w:color w:val="auto"/>
          <w:sz w:val="44"/>
          <w:szCs w:val="44"/>
          <w:highlight w:val="none"/>
        </w:rPr>
      </w:pPr>
      <w:r>
        <w:rPr>
          <w:rFonts w:hint="eastAsia" w:ascii="黑体" w:hAnsi="黑体" w:eastAsia="黑体" w:cs="仿宋_GB2312"/>
          <w:b/>
          <w:bCs/>
          <w:color w:val="auto"/>
          <w:sz w:val="44"/>
          <w:szCs w:val="44"/>
          <w:highlight w:val="none"/>
        </w:rPr>
        <w:t>目  录</w:t>
      </w:r>
    </w:p>
    <w:p w14:paraId="0B9D41FB">
      <w:pPr>
        <w:jc w:val="center"/>
        <w:rPr>
          <w:rFonts w:ascii="仿宋_GB2312" w:hAnsi="仿宋" w:eastAsia="仿宋_GB2312" w:cs="仿宋_GB2312"/>
          <w:b/>
          <w:bCs/>
          <w:color w:val="auto"/>
          <w:sz w:val="44"/>
          <w:szCs w:val="44"/>
          <w:highlight w:val="none"/>
        </w:rPr>
      </w:pPr>
    </w:p>
    <w:p w14:paraId="1714C3F6">
      <w:pPr>
        <w:pStyle w:val="17"/>
        <w:keepNext w:val="0"/>
        <w:keepLines w:val="0"/>
        <w:pageBreakBefore w:val="0"/>
        <w:widowControl w:val="0"/>
        <w:tabs>
          <w:tab w:val="right" w:leader="dot" w:pos="8303"/>
        </w:tabs>
        <w:kinsoku/>
        <w:wordWrap/>
        <w:overflowPunct/>
        <w:topLinePunct w:val="0"/>
        <w:autoSpaceDE/>
        <w:autoSpaceDN/>
        <w:bidi w:val="0"/>
        <w:adjustRightInd/>
        <w:snapToGrid w:val="0"/>
        <w:spacing w:line="72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TOC \o "1-1" \h \u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HYPERLINK \l _Toc24110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kern w:val="44"/>
          <w:sz w:val="28"/>
          <w:szCs w:val="28"/>
          <w:highlight w:val="none"/>
        </w:rPr>
        <w:t>招标公告</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_Toc24110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rPr>
        <w:fldChar w:fldCharType="end"/>
      </w:r>
    </w:p>
    <w:p w14:paraId="4458860B">
      <w:pPr>
        <w:pStyle w:val="17"/>
        <w:keepNext w:val="0"/>
        <w:keepLines w:val="0"/>
        <w:pageBreakBefore w:val="0"/>
        <w:widowControl w:val="0"/>
        <w:tabs>
          <w:tab w:val="right" w:leader="dot" w:pos="8303"/>
        </w:tabs>
        <w:kinsoku/>
        <w:wordWrap/>
        <w:overflowPunct/>
        <w:topLinePunct w:val="0"/>
        <w:autoSpaceDE/>
        <w:autoSpaceDN/>
        <w:bidi w:val="0"/>
        <w:adjustRightInd/>
        <w:snapToGrid w:val="0"/>
        <w:spacing w:line="72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HYPERLINK \l _Toc9067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第一章 投标人须知</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_Toc9067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5</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rPr>
        <w:fldChar w:fldCharType="end"/>
      </w:r>
    </w:p>
    <w:p w14:paraId="3E87A6E2">
      <w:pPr>
        <w:pStyle w:val="17"/>
        <w:keepNext w:val="0"/>
        <w:keepLines w:val="0"/>
        <w:pageBreakBefore w:val="0"/>
        <w:widowControl w:val="0"/>
        <w:tabs>
          <w:tab w:val="right" w:leader="dot" w:pos="8303"/>
        </w:tabs>
        <w:kinsoku/>
        <w:wordWrap/>
        <w:overflowPunct/>
        <w:topLinePunct w:val="0"/>
        <w:autoSpaceDE/>
        <w:autoSpaceDN/>
        <w:bidi w:val="0"/>
        <w:adjustRightInd/>
        <w:snapToGrid w:val="0"/>
        <w:spacing w:line="72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HYPERLINK \l _Toc21783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第二章 投标文件内容及格式</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_Toc21783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30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rPr>
        <w:fldChar w:fldCharType="end"/>
      </w:r>
    </w:p>
    <w:p w14:paraId="2308D4F1">
      <w:pPr>
        <w:pStyle w:val="17"/>
        <w:keepNext w:val="0"/>
        <w:keepLines w:val="0"/>
        <w:pageBreakBefore w:val="0"/>
        <w:widowControl w:val="0"/>
        <w:tabs>
          <w:tab w:val="right" w:leader="dot" w:pos="8303"/>
        </w:tabs>
        <w:kinsoku/>
        <w:wordWrap/>
        <w:overflowPunct/>
        <w:topLinePunct w:val="0"/>
        <w:autoSpaceDE/>
        <w:autoSpaceDN/>
        <w:bidi w:val="0"/>
        <w:adjustRightInd/>
        <w:snapToGrid w:val="0"/>
        <w:spacing w:line="72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HYPERLINK \l _Toc32093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kern w:val="44"/>
          <w:sz w:val="28"/>
          <w:szCs w:val="28"/>
          <w:highlight w:val="none"/>
        </w:rPr>
        <w:t>第三章 货物需求</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_Toc32093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90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rPr>
        <w:fldChar w:fldCharType="end"/>
      </w:r>
    </w:p>
    <w:p w14:paraId="05EAA88D">
      <w:pPr>
        <w:pStyle w:val="17"/>
        <w:keepNext w:val="0"/>
        <w:keepLines w:val="0"/>
        <w:pageBreakBefore w:val="0"/>
        <w:widowControl w:val="0"/>
        <w:tabs>
          <w:tab w:val="right" w:leader="dot" w:pos="8303"/>
        </w:tabs>
        <w:kinsoku/>
        <w:wordWrap/>
        <w:overflowPunct/>
        <w:topLinePunct w:val="0"/>
        <w:autoSpaceDE/>
        <w:autoSpaceDN/>
        <w:bidi w:val="0"/>
        <w:adjustRightInd/>
        <w:snapToGrid w:val="0"/>
        <w:spacing w:line="72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HYPERLINK \l _Toc18523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第四章 评标方法</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_Toc18523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91</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rPr>
        <w:fldChar w:fldCharType="end"/>
      </w:r>
    </w:p>
    <w:p w14:paraId="7EA3C9CE">
      <w:pPr>
        <w:pStyle w:val="17"/>
        <w:keepNext w:val="0"/>
        <w:keepLines w:val="0"/>
        <w:pageBreakBefore w:val="0"/>
        <w:widowControl w:val="0"/>
        <w:tabs>
          <w:tab w:val="right" w:leader="dot" w:pos="8303"/>
        </w:tabs>
        <w:kinsoku/>
        <w:wordWrap/>
        <w:overflowPunct/>
        <w:topLinePunct w:val="0"/>
        <w:autoSpaceDE/>
        <w:autoSpaceDN/>
        <w:bidi w:val="0"/>
        <w:adjustRightInd/>
        <w:snapToGrid w:val="0"/>
        <w:spacing w:line="720" w:lineRule="auto"/>
        <w:textAlignment w:val="auto"/>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HYPERLINK \l _Toc26852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第五章 政府采购合同条款及格式</w:t>
      </w:r>
      <w:r>
        <w:rPr>
          <w:rFonts w:hint="eastAsia" w:ascii="仿宋_GB2312" w:hAnsi="仿宋_GB2312" w:eastAsia="仿宋_GB2312" w:cs="仿宋_GB2312"/>
          <w:b/>
          <w:bCs/>
          <w:color w:val="auto"/>
          <w:sz w:val="28"/>
          <w:szCs w:val="28"/>
          <w:highlight w:val="none"/>
        </w:rPr>
        <w:tab/>
      </w:r>
      <w:r>
        <w:rPr>
          <w:rFonts w:hint="eastAsia" w:ascii="仿宋_GB2312" w:hAnsi="仿宋_GB2312" w:eastAsia="仿宋_GB2312" w:cs="仿宋_GB2312"/>
          <w:b/>
          <w:bCs/>
          <w:color w:val="auto"/>
          <w:sz w:val="28"/>
          <w:szCs w:val="28"/>
          <w:highlight w:val="none"/>
        </w:rPr>
        <w:fldChar w:fldCharType="begin"/>
      </w:r>
      <w:r>
        <w:rPr>
          <w:rFonts w:hint="eastAsia" w:ascii="仿宋_GB2312" w:hAnsi="仿宋_GB2312" w:eastAsia="仿宋_GB2312" w:cs="仿宋_GB2312"/>
          <w:b/>
          <w:bCs/>
          <w:color w:val="auto"/>
          <w:sz w:val="28"/>
          <w:szCs w:val="28"/>
          <w:highlight w:val="none"/>
        </w:rPr>
        <w:instrText xml:space="preserve"> PAGEREF _Toc26852 \h </w:instrText>
      </w:r>
      <w:r>
        <w:rPr>
          <w:rFonts w:hint="eastAsia" w:ascii="仿宋_GB2312" w:hAnsi="仿宋_GB2312" w:eastAsia="仿宋_GB2312" w:cs="仿宋_GB2312"/>
          <w:b/>
          <w:bCs/>
          <w:color w:val="auto"/>
          <w:sz w:val="28"/>
          <w:szCs w:val="28"/>
          <w:highlight w:val="none"/>
        </w:rPr>
        <w:fldChar w:fldCharType="separate"/>
      </w:r>
      <w:r>
        <w:rPr>
          <w:rFonts w:hint="eastAsia" w:ascii="仿宋_GB2312" w:hAnsi="仿宋_GB2312" w:eastAsia="仿宋_GB2312" w:cs="仿宋_GB2312"/>
          <w:b/>
          <w:bCs/>
          <w:color w:val="auto"/>
          <w:sz w:val="28"/>
          <w:szCs w:val="28"/>
          <w:highlight w:val="none"/>
        </w:rPr>
        <w:t>100</w:t>
      </w:r>
      <w:r>
        <w:rPr>
          <w:rFonts w:hint="eastAsia" w:ascii="仿宋_GB2312" w:hAnsi="仿宋_GB2312" w:eastAsia="仿宋_GB2312" w:cs="仿宋_GB2312"/>
          <w:b/>
          <w:bCs/>
          <w:color w:val="auto"/>
          <w:sz w:val="28"/>
          <w:szCs w:val="28"/>
          <w:highlight w:val="none"/>
        </w:rPr>
        <w:fldChar w:fldCharType="end"/>
      </w:r>
      <w:r>
        <w:rPr>
          <w:rFonts w:hint="eastAsia" w:ascii="仿宋_GB2312" w:hAnsi="仿宋_GB2312" w:eastAsia="仿宋_GB2312" w:cs="仿宋_GB2312"/>
          <w:b/>
          <w:bCs/>
          <w:color w:val="auto"/>
          <w:sz w:val="28"/>
          <w:szCs w:val="28"/>
          <w:highlight w:val="none"/>
        </w:rPr>
        <w:fldChar w:fldCharType="end"/>
      </w:r>
    </w:p>
    <w:p w14:paraId="2D31381C">
      <w:pPr>
        <w:pStyle w:val="17"/>
        <w:keepNext w:val="0"/>
        <w:keepLines w:val="0"/>
        <w:pageBreakBefore w:val="0"/>
        <w:widowControl w:val="0"/>
        <w:tabs>
          <w:tab w:val="right" w:leader="dot" w:pos="8306"/>
        </w:tabs>
        <w:kinsoku/>
        <w:wordWrap/>
        <w:overflowPunct/>
        <w:topLinePunct w:val="0"/>
        <w:autoSpaceDE/>
        <w:autoSpaceDN/>
        <w:bidi w:val="0"/>
        <w:adjustRightInd/>
        <w:snapToGrid w:val="0"/>
        <w:spacing w:line="720" w:lineRule="auto"/>
        <w:textAlignment w:val="auto"/>
        <w:rPr>
          <w:rFonts w:ascii="仿宋_GB2312" w:hAnsi="仿宋" w:eastAsia="仿宋_GB2312"/>
          <w:color w:val="auto"/>
          <w:sz w:val="30"/>
          <w:szCs w:val="30"/>
          <w:highlight w:val="none"/>
        </w:rPr>
      </w:pPr>
      <w:r>
        <w:rPr>
          <w:rFonts w:hint="eastAsia" w:ascii="仿宋_GB2312" w:hAnsi="仿宋_GB2312" w:eastAsia="仿宋_GB2312" w:cs="仿宋_GB2312"/>
          <w:b/>
          <w:bCs/>
          <w:color w:val="auto"/>
          <w:sz w:val="28"/>
          <w:szCs w:val="28"/>
          <w:highlight w:val="none"/>
        </w:rPr>
        <w:fldChar w:fldCharType="end"/>
      </w:r>
    </w:p>
    <w:p w14:paraId="76BDBA2C">
      <w:pPr>
        <w:pStyle w:val="2"/>
        <w:spacing w:line="720" w:lineRule="auto"/>
        <w:rPr>
          <w:rFonts w:ascii="仿宋_GB2312" w:hAnsi="仿宋" w:eastAsia="仿宋_GB2312" w:cs="仿宋_GB2312"/>
          <w:color w:val="auto"/>
          <w:sz w:val="30"/>
          <w:szCs w:val="30"/>
          <w:highlight w:val="none"/>
        </w:rPr>
        <w:sectPr>
          <w:headerReference r:id="rId6" w:type="default"/>
          <w:footerReference r:id="rId7" w:type="default"/>
          <w:pgSz w:w="11906" w:h="16838"/>
          <w:pgMar w:top="1560" w:right="1803" w:bottom="1440" w:left="1800" w:header="979" w:footer="992" w:gutter="0"/>
          <w:pgBorders>
            <w:top w:val="none" w:sz="0" w:space="0"/>
            <w:left w:val="none" w:sz="0" w:space="0"/>
            <w:bottom w:val="none" w:sz="0" w:space="0"/>
            <w:right w:val="none" w:sz="0" w:space="0"/>
          </w:pgBorders>
          <w:pgNumType w:start="1"/>
          <w:cols w:space="720" w:num="1"/>
          <w:docGrid w:type="linesAndChars" w:linePitch="312" w:charSpace="0"/>
        </w:sectPr>
      </w:pPr>
      <w:bookmarkStart w:id="0" w:name="_Toc1124_WPSOffice_Level1"/>
    </w:p>
    <w:bookmarkEnd w:id="0"/>
    <w:p w14:paraId="25AC835B">
      <w:pPr>
        <w:snapToGrid w:val="0"/>
        <w:spacing w:line="276" w:lineRule="auto"/>
        <w:jc w:val="center"/>
        <w:outlineLvl w:val="0"/>
        <w:rPr>
          <w:rFonts w:ascii="方正小标宋简体" w:hAnsi="仿宋" w:eastAsia="方正小标宋简体" w:cs="仿宋_GB2312"/>
          <w:b w:val="0"/>
          <w:bCs/>
          <w:color w:val="auto"/>
          <w:highlight w:val="none"/>
        </w:rPr>
      </w:pPr>
      <w:bookmarkStart w:id="1" w:name="_Toc111013450"/>
      <w:bookmarkStart w:id="2" w:name="_Toc24110"/>
      <w:bookmarkStart w:id="3" w:name="_Toc8955"/>
      <w:bookmarkStart w:id="4" w:name="_Toc111013451"/>
      <w:bookmarkStart w:id="5" w:name="_Toc26518_WPSOffice_Level1"/>
      <w:r>
        <w:rPr>
          <w:rFonts w:hint="eastAsia" w:ascii="方正小标宋简体" w:hAnsi="仿宋" w:eastAsia="方正小标宋简体" w:cs="仿宋_GB2312"/>
          <w:b w:val="0"/>
          <w:bCs/>
          <w:color w:val="auto"/>
          <w:kern w:val="44"/>
          <w:sz w:val="44"/>
          <w:highlight w:val="none"/>
          <w:lang w:eastAsia="zh-CN"/>
        </w:rPr>
        <w:t>（ZCC）沈阳农业大学外语四六级口语考试平台采购建设项目</w:t>
      </w:r>
      <w:r>
        <w:rPr>
          <w:rFonts w:hint="eastAsia" w:ascii="方正小标宋简体" w:hAnsi="仿宋" w:eastAsia="方正小标宋简体" w:cs="仿宋_GB2312"/>
          <w:b w:val="0"/>
          <w:bCs/>
          <w:color w:val="auto"/>
          <w:kern w:val="44"/>
          <w:sz w:val="44"/>
          <w:highlight w:val="none"/>
        </w:rPr>
        <w:t>招标公告</w:t>
      </w:r>
      <w:bookmarkEnd w:id="1"/>
      <w:bookmarkEnd w:id="2"/>
      <w:bookmarkEnd w:id="3"/>
    </w:p>
    <w:p w14:paraId="5ED6A327">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项目概况</w:t>
      </w:r>
    </w:p>
    <w:p w14:paraId="7A184272">
      <w:pPr>
        <w:pBdr>
          <w:top w:val="single" w:color="auto" w:sz="4" w:space="1"/>
          <w:left w:val="single" w:color="auto" w:sz="4" w:space="4"/>
          <w:bottom w:val="single" w:color="auto" w:sz="4" w:space="1"/>
          <w:right w:val="single" w:color="auto" w:sz="4" w:space="4"/>
        </w:pBdr>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u w:val="single"/>
          <w:lang w:eastAsia="zh-CN"/>
        </w:rPr>
        <w:t>（ZCC）沈阳农业大学外语四六级口语考试平台采购建设项目</w:t>
      </w:r>
      <w:r>
        <w:rPr>
          <w:rFonts w:hint="eastAsia" w:ascii="仿宋_GB2312" w:hAnsi="仿宋" w:eastAsia="仿宋_GB2312"/>
          <w:color w:val="auto"/>
          <w:sz w:val="24"/>
          <w:highlight w:val="none"/>
        </w:rPr>
        <w:t>的潜在供应商应在</w:t>
      </w:r>
      <w:r>
        <w:rPr>
          <w:rFonts w:hint="eastAsia" w:ascii="仿宋_GB2312" w:hAnsi="仿宋" w:eastAsia="仿宋_GB2312"/>
          <w:color w:val="auto"/>
          <w:sz w:val="24"/>
          <w:highlight w:val="none"/>
          <w:u w:val="single"/>
        </w:rPr>
        <w:t>辽宁政府采购网</w:t>
      </w:r>
      <w:r>
        <w:rPr>
          <w:rFonts w:hint="eastAsia" w:ascii="仿宋_GB2312" w:hAnsi="仿宋" w:eastAsia="仿宋_GB2312"/>
          <w:color w:val="auto"/>
          <w:sz w:val="24"/>
          <w:highlight w:val="none"/>
        </w:rPr>
        <w:t>获取招标文件，并于</w:t>
      </w:r>
      <w:r>
        <w:rPr>
          <w:rFonts w:hint="eastAsia" w:ascii="仿宋_GB2312" w:hAnsi="仿宋" w:eastAsia="仿宋_GB2312"/>
          <w:color w:val="auto"/>
          <w:sz w:val="24"/>
          <w:highlight w:val="none"/>
          <w:u w:val="single"/>
          <w:lang w:eastAsia="zh-CN"/>
        </w:rPr>
        <w:t>2025年02月07日</w:t>
      </w:r>
      <w:r>
        <w:rPr>
          <w:rFonts w:hint="eastAsia" w:ascii="仿宋_GB2312" w:hAnsi="仿宋" w:eastAsia="仿宋_GB2312"/>
          <w:color w:val="auto"/>
          <w:sz w:val="24"/>
          <w:highlight w:val="none"/>
          <w:u w:val="single"/>
          <w:lang w:val="en-US" w:eastAsia="zh-CN"/>
        </w:rPr>
        <w:t>13</w:t>
      </w:r>
      <w:r>
        <w:rPr>
          <w:rFonts w:hint="eastAsia" w:ascii="仿宋_GB2312" w:hAnsi="仿宋" w:eastAsia="仿宋_GB2312"/>
          <w:color w:val="auto"/>
          <w:sz w:val="24"/>
          <w:highlight w:val="none"/>
          <w:u w:val="single"/>
        </w:rPr>
        <w:t>时30分</w:t>
      </w:r>
      <w:r>
        <w:rPr>
          <w:rFonts w:hint="eastAsia" w:ascii="仿宋_GB2312" w:hAnsi="仿宋" w:eastAsia="仿宋_GB2312"/>
          <w:bCs/>
          <w:color w:val="auto"/>
          <w:sz w:val="24"/>
          <w:highlight w:val="none"/>
        </w:rPr>
        <w:t>（北京时间）前递交投标文件</w:t>
      </w:r>
      <w:r>
        <w:rPr>
          <w:rFonts w:hint="eastAsia" w:ascii="仿宋_GB2312" w:hAnsi="仿宋" w:eastAsia="仿宋_GB2312"/>
          <w:color w:val="auto"/>
          <w:sz w:val="24"/>
          <w:highlight w:val="none"/>
        </w:rPr>
        <w:t>。</w:t>
      </w:r>
    </w:p>
    <w:p w14:paraId="0C27FA68">
      <w:pPr>
        <w:spacing w:line="360" w:lineRule="auto"/>
        <w:jc w:val="left"/>
        <w:rPr>
          <w:rFonts w:ascii="仿宋_GB2312" w:hAnsi="仿宋" w:eastAsia="仿宋_GB2312"/>
          <w:b/>
          <w:color w:val="auto"/>
          <w:sz w:val="24"/>
          <w:highlight w:val="none"/>
        </w:rPr>
      </w:pPr>
      <w:bookmarkStart w:id="6" w:name="_Toc35393790"/>
      <w:bookmarkStart w:id="7" w:name="_Toc28359002"/>
      <w:bookmarkStart w:id="8" w:name="_Toc35393621"/>
      <w:bookmarkStart w:id="9" w:name="_Toc28359079"/>
      <w:bookmarkStart w:id="10" w:name="_Hlk24379207"/>
      <w:r>
        <w:rPr>
          <w:rFonts w:hint="eastAsia" w:ascii="仿宋_GB2312" w:hAnsi="仿宋" w:eastAsia="仿宋_GB2312"/>
          <w:b/>
          <w:color w:val="auto"/>
          <w:sz w:val="24"/>
          <w:highlight w:val="none"/>
        </w:rPr>
        <w:t>一、项目基本情况</w:t>
      </w:r>
      <w:bookmarkEnd w:id="6"/>
      <w:bookmarkEnd w:id="7"/>
      <w:bookmarkEnd w:id="8"/>
      <w:bookmarkEnd w:id="9"/>
    </w:p>
    <w:bookmarkEnd w:id="10"/>
    <w:p w14:paraId="6F03BDB3">
      <w:pPr>
        <w:snapToGrid w:val="0"/>
        <w:spacing w:line="360" w:lineRule="auto"/>
        <w:ind w:firstLine="480" w:firstLineChars="200"/>
        <w:rPr>
          <w:rFonts w:hint="eastAsia" w:ascii="仿宋_GB2312" w:hAnsi="仿宋" w:eastAsia="仿宋_GB2312"/>
          <w:color w:val="auto"/>
          <w:sz w:val="24"/>
          <w:highlight w:val="none"/>
          <w:lang w:eastAsia="zh-CN"/>
        </w:rPr>
      </w:pPr>
      <w:bookmarkStart w:id="11" w:name="_Toc28359003"/>
      <w:bookmarkStart w:id="12" w:name="_Toc35393791"/>
      <w:bookmarkStart w:id="13" w:name="_Toc28359080"/>
      <w:bookmarkStart w:id="14" w:name="_Toc35393622"/>
      <w:r>
        <w:rPr>
          <w:rFonts w:hint="eastAsia" w:ascii="仿宋_GB2312" w:hAnsi="仿宋" w:eastAsia="仿宋_GB2312"/>
          <w:color w:val="auto"/>
          <w:sz w:val="24"/>
          <w:highlight w:val="none"/>
        </w:rPr>
        <w:t>项目编号：JH24-210000-16044</w:t>
      </w:r>
    </w:p>
    <w:p w14:paraId="338B13D7">
      <w:pPr>
        <w:snapToGrid w:val="0"/>
        <w:spacing w:line="360" w:lineRule="auto"/>
        <w:ind w:firstLine="480" w:firstLineChars="200"/>
        <w:rPr>
          <w:rFonts w:hint="eastAsia"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项目名称：</w:t>
      </w:r>
      <w:r>
        <w:rPr>
          <w:rFonts w:hint="eastAsia" w:ascii="仿宋_GB2312" w:hAnsi="仿宋" w:eastAsia="仿宋_GB2312"/>
          <w:color w:val="auto"/>
          <w:sz w:val="24"/>
          <w:highlight w:val="none"/>
          <w:lang w:eastAsia="zh-CN"/>
        </w:rPr>
        <w:t>（ZCC）沈阳农业大学外语四六级口语考试平台采购建设项目</w:t>
      </w:r>
    </w:p>
    <w:p w14:paraId="401904E5">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采购方式：公开招标</w:t>
      </w:r>
    </w:p>
    <w:p w14:paraId="75F9D9BA">
      <w:pPr>
        <w:snapToGrid w:val="0"/>
        <w:spacing w:line="360"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预算金额：</w:t>
      </w:r>
      <w:r>
        <w:rPr>
          <w:rFonts w:hint="eastAsia" w:ascii="仿宋_GB2312" w:hAnsi="仿宋" w:eastAsia="仿宋_GB2312"/>
          <w:color w:val="auto"/>
          <w:sz w:val="24"/>
          <w:highlight w:val="none"/>
          <w:lang w:val="en-US" w:eastAsia="zh-CN"/>
        </w:rPr>
        <w:t>635,800.00元</w:t>
      </w:r>
    </w:p>
    <w:p w14:paraId="34DD405A">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最高限价：</w:t>
      </w:r>
      <w:r>
        <w:rPr>
          <w:rFonts w:hint="eastAsia" w:ascii="仿宋_GB2312" w:hAnsi="仿宋" w:eastAsia="仿宋_GB2312"/>
          <w:color w:val="auto"/>
          <w:sz w:val="24"/>
          <w:highlight w:val="none"/>
          <w:lang w:val="en-US" w:eastAsia="zh-CN"/>
        </w:rPr>
        <w:t>635,800.00元</w:t>
      </w:r>
    </w:p>
    <w:p w14:paraId="1FC74C3B">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采购需求：</w:t>
      </w:r>
      <w:r>
        <w:rPr>
          <w:rFonts w:hint="eastAsia" w:ascii="仿宋_GB2312" w:hAnsi="仿宋" w:eastAsia="仿宋_GB2312"/>
          <w:color w:val="auto"/>
          <w:sz w:val="24"/>
          <w:highlight w:val="none"/>
          <w:lang w:eastAsia="zh-CN"/>
        </w:rPr>
        <w:t>（ZCC）沈阳农业大学外语四六级口语考试平台采购建设项目</w:t>
      </w:r>
      <w:r>
        <w:rPr>
          <w:rFonts w:hint="eastAsia" w:ascii="仿宋_GB2312" w:hAnsi="仿宋" w:eastAsia="仿宋_GB2312"/>
          <w:color w:val="auto"/>
          <w:sz w:val="24"/>
          <w:highlight w:val="none"/>
        </w:rPr>
        <w:t>，具体详见招标文件。</w:t>
      </w:r>
    </w:p>
    <w:p w14:paraId="7E280530">
      <w:pPr>
        <w:snapToGrid w:val="0"/>
        <w:spacing w:line="360" w:lineRule="auto"/>
        <w:ind w:firstLine="480" w:firstLineChars="200"/>
        <w:rPr>
          <w:rFonts w:hint="default" w:ascii="仿宋_GB2312" w:hAnsi="仿宋" w:eastAsia="仿宋_GB2312"/>
          <w:color w:val="auto"/>
          <w:sz w:val="24"/>
          <w:highlight w:val="none"/>
          <w:lang w:val="en-US" w:eastAsia="zh-CN"/>
        </w:rPr>
      </w:pPr>
      <w:r>
        <w:rPr>
          <w:rFonts w:hint="eastAsia" w:ascii="仿宋_GB2312" w:hAnsi="仿宋" w:eastAsia="仿宋_GB2312"/>
          <w:color w:val="auto"/>
          <w:sz w:val="24"/>
          <w:highlight w:val="none"/>
        </w:rPr>
        <w:t>合同履行期限：</w:t>
      </w:r>
      <w:r>
        <w:rPr>
          <w:rFonts w:hint="eastAsia" w:ascii="仿宋_GB2312" w:hAnsi="仿宋" w:eastAsia="仿宋_GB2312"/>
          <w:color w:val="auto"/>
          <w:sz w:val="24"/>
          <w:highlight w:val="none"/>
          <w:lang w:val="en-US" w:eastAsia="zh-CN"/>
        </w:rPr>
        <w:t>合同签订后30日内完成设备安装及调试。</w:t>
      </w:r>
    </w:p>
    <w:p w14:paraId="00B0F849">
      <w:pPr>
        <w:snapToGrid w:val="0"/>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需落实的政府采购政策内容：</w:t>
      </w:r>
      <w:bookmarkStart w:id="15" w:name="_Hlk80692934"/>
      <w:r>
        <w:rPr>
          <w:rFonts w:hint="eastAsia" w:ascii="仿宋_GB2312" w:hAnsi="仿宋" w:eastAsia="仿宋_GB2312"/>
          <w:color w:val="auto"/>
          <w:sz w:val="24"/>
          <w:highlight w:val="none"/>
        </w:rPr>
        <w:t>中小微企业（含监狱企业）、残疾人就业政府采购政策、节能产品、环境标志产品、聘用建档立卡贫困人员物业公司相关规定。</w:t>
      </w:r>
    </w:p>
    <w:bookmarkEnd w:id="15"/>
    <w:p w14:paraId="0E3016A7">
      <w:pPr>
        <w:spacing w:line="360" w:lineRule="auto"/>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本项目（是/否）接受联合体投标：否。</w:t>
      </w:r>
    </w:p>
    <w:p w14:paraId="4C613706">
      <w:pPr>
        <w:spacing w:line="360"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二、供应商的资格要求：</w:t>
      </w:r>
      <w:bookmarkEnd w:id="11"/>
      <w:bookmarkEnd w:id="12"/>
      <w:bookmarkEnd w:id="13"/>
      <w:bookmarkEnd w:id="14"/>
    </w:p>
    <w:p w14:paraId="49BD47BF">
      <w:pPr>
        <w:spacing w:line="360" w:lineRule="auto"/>
        <w:ind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1.满足《中华人民共和国政府采购法》第二十二条规定；</w:t>
      </w:r>
    </w:p>
    <w:p w14:paraId="44F9F554">
      <w:pPr>
        <w:spacing w:line="360" w:lineRule="auto"/>
        <w:ind w:firstLine="480" w:firstLineChars="200"/>
        <w:jc w:val="left"/>
        <w:rPr>
          <w:rFonts w:ascii="仿宋_GB2312" w:hAnsi="仿宋" w:eastAsia="仿宋_GB2312"/>
          <w:color w:val="auto"/>
          <w:sz w:val="24"/>
          <w:highlight w:val="none"/>
        </w:rPr>
      </w:pPr>
      <w:bookmarkStart w:id="16" w:name="_Toc28359081"/>
      <w:bookmarkStart w:id="17" w:name="_Toc28359004"/>
      <w:r>
        <w:rPr>
          <w:rFonts w:hint="eastAsia" w:ascii="仿宋_GB2312" w:hAnsi="仿宋" w:eastAsia="仿宋_GB2312"/>
          <w:color w:val="auto"/>
          <w:sz w:val="24"/>
          <w:highlight w:val="none"/>
        </w:rPr>
        <w:t>2.落实政府采购政策需满足的资格要求：按照需落实的国家相关政府采购政策执行；</w:t>
      </w:r>
    </w:p>
    <w:p w14:paraId="29EE76B2">
      <w:pPr>
        <w:spacing w:line="360" w:lineRule="auto"/>
        <w:ind w:firstLine="480" w:firstLineChars="200"/>
        <w:jc w:val="left"/>
        <w:rPr>
          <w:rFonts w:hint="default" w:ascii="仿宋_GB2312" w:hAnsi="仿宋" w:eastAsia="仿宋_GB2312" w:cs="宋体"/>
          <w:b/>
          <w:bCs/>
          <w:color w:val="auto"/>
          <w:sz w:val="24"/>
          <w:highlight w:val="none"/>
          <w:lang w:val="en-US" w:eastAsia="zh-CN"/>
        </w:rPr>
      </w:pPr>
      <w:r>
        <w:rPr>
          <w:rFonts w:hint="eastAsia" w:ascii="仿宋_GB2312" w:hAnsi="仿宋" w:eastAsia="仿宋_GB2312"/>
          <w:color w:val="auto"/>
          <w:sz w:val="24"/>
          <w:highlight w:val="none"/>
        </w:rPr>
        <w:t>3.本项目的特定资格要求：无。</w:t>
      </w:r>
    </w:p>
    <w:p w14:paraId="0B122542">
      <w:pPr>
        <w:spacing w:line="360"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三、政府采购供应商入库须知</w:t>
      </w:r>
    </w:p>
    <w:p w14:paraId="64D4E71B">
      <w:pPr>
        <w:spacing w:line="360" w:lineRule="auto"/>
        <w:ind w:firstLine="480" w:firstLineChars="20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参加辽宁省政府采购活动的供应商未进入辽宁省政府采购供应商库的，请详阅辽宁政府采购网“首页—政策法规”中公布的“政府采购供应商入库”的相关规定，及时办理入库登记手续。填写单位名称、统一社会信用代码和联系人等简要信息，由系统自动开通账号后，即可参与政府采购活动。具体规定详见《关于进一步优化辽宁省政府采购供应商入库程序的通知》（辽财采函〔2020〕198号）。</w:t>
      </w:r>
    </w:p>
    <w:p w14:paraId="400FEB97">
      <w:pPr>
        <w:spacing w:line="360" w:lineRule="auto"/>
        <w:jc w:val="left"/>
        <w:rPr>
          <w:rFonts w:ascii="仿宋_GB2312" w:hAnsi="仿宋" w:eastAsia="仿宋_GB2312"/>
          <w:b/>
          <w:color w:val="auto"/>
          <w:sz w:val="24"/>
          <w:highlight w:val="none"/>
        </w:rPr>
      </w:pPr>
      <w:bookmarkStart w:id="18" w:name="_Toc35393792"/>
      <w:bookmarkStart w:id="19" w:name="_Toc35393623"/>
      <w:r>
        <w:rPr>
          <w:rFonts w:hint="eastAsia" w:ascii="仿宋_GB2312" w:hAnsi="仿宋" w:eastAsia="仿宋_GB2312"/>
          <w:b/>
          <w:color w:val="auto"/>
          <w:sz w:val="24"/>
          <w:highlight w:val="none"/>
        </w:rPr>
        <w:t>四、获取招标文件</w:t>
      </w:r>
      <w:bookmarkEnd w:id="16"/>
      <w:bookmarkEnd w:id="17"/>
      <w:bookmarkEnd w:id="18"/>
      <w:bookmarkEnd w:id="19"/>
    </w:p>
    <w:p w14:paraId="46A1DD44">
      <w:pPr>
        <w:spacing w:line="360" w:lineRule="auto"/>
        <w:ind w:firstLine="54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时间：</w:t>
      </w:r>
      <w:r>
        <w:rPr>
          <w:rFonts w:hint="eastAsia" w:ascii="仿宋_GB2312" w:hAnsi="仿宋" w:eastAsia="仿宋_GB2312" w:cs="宋体"/>
          <w:color w:val="auto"/>
          <w:sz w:val="24"/>
          <w:highlight w:val="none"/>
          <w:lang w:eastAsia="zh-CN"/>
        </w:rPr>
        <w:t>2025年01月09日</w:t>
      </w:r>
      <w:r>
        <w:rPr>
          <w:rFonts w:hint="eastAsia" w:ascii="仿宋_GB2312" w:hAnsi="仿宋" w:eastAsia="仿宋_GB2312" w:cs="宋体"/>
          <w:color w:val="auto"/>
          <w:sz w:val="24"/>
          <w:highlight w:val="none"/>
          <w:lang w:val="en-US" w:eastAsia="zh-CN"/>
        </w:rPr>
        <w:t>22</w:t>
      </w:r>
      <w:r>
        <w:rPr>
          <w:rFonts w:hint="eastAsia" w:ascii="仿宋_GB2312" w:hAnsi="仿宋" w:eastAsia="仿宋_GB2312" w:cs="宋体"/>
          <w:color w:val="auto"/>
          <w:sz w:val="24"/>
          <w:highlight w:val="none"/>
        </w:rPr>
        <w:t>时</w:t>
      </w:r>
      <w:r>
        <w:rPr>
          <w:rFonts w:hint="eastAsia" w:ascii="仿宋_GB2312" w:hAnsi="仿宋" w:eastAsia="仿宋_GB2312" w:cs="宋体"/>
          <w:color w:val="auto"/>
          <w:sz w:val="24"/>
          <w:highlight w:val="none"/>
          <w:lang w:val="en-US" w:eastAsia="zh-CN"/>
        </w:rPr>
        <w:t>00</w:t>
      </w:r>
      <w:r>
        <w:rPr>
          <w:rFonts w:hint="eastAsia" w:ascii="仿宋_GB2312" w:hAnsi="仿宋" w:eastAsia="仿宋_GB2312" w:cs="宋体"/>
          <w:color w:val="auto"/>
          <w:sz w:val="24"/>
          <w:highlight w:val="none"/>
        </w:rPr>
        <w:t>分</w:t>
      </w:r>
      <w:r>
        <w:rPr>
          <w:rFonts w:hint="eastAsia" w:ascii="仿宋_GB2312" w:hAnsi="仿宋" w:eastAsia="仿宋_GB2312" w:cs="宋体"/>
          <w:color w:val="auto"/>
          <w:sz w:val="24"/>
          <w:highlight w:val="none"/>
          <w:lang w:val="en-US" w:eastAsia="zh-CN"/>
        </w:rPr>
        <w:t>00</w:t>
      </w:r>
      <w:r>
        <w:rPr>
          <w:rFonts w:hint="eastAsia" w:ascii="仿宋_GB2312" w:hAnsi="仿宋" w:eastAsia="仿宋_GB2312" w:cs="宋体"/>
          <w:color w:val="auto"/>
          <w:sz w:val="24"/>
          <w:highlight w:val="none"/>
        </w:rPr>
        <w:t>秒至202</w:t>
      </w:r>
      <w:r>
        <w:rPr>
          <w:rFonts w:hint="eastAsia" w:ascii="仿宋_GB2312" w:hAnsi="仿宋" w:eastAsia="仿宋_GB2312" w:cs="宋体"/>
          <w:color w:val="auto"/>
          <w:sz w:val="24"/>
          <w:highlight w:val="none"/>
          <w:lang w:val="en-US" w:eastAsia="zh-CN"/>
        </w:rPr>
        <w:t>5</w:t>
      </w:r>
      <w:r>
        <w:rPr>
          <w:rFonts w:hint="eastAsia" w:ascii="仿宋_GB2312" w:hAnsi="仿宋" w:eastAsia="仿宋_GB2312" w:cs="宋体"/>
          <w:color w:val="auto"/>
          <w:sz w:val="24"/>
          <w:highlight w:val="none"/>
        </w:rPr>
        <w:t>年</w:t>
      </w:r>
      <w:r>
        <w:rPr>
          <w:rFonts w:hint="eastAsia" w:ascii="仿宋_GB2312" w:hAnsi="仿宋" w:eastAsia="仿宋_GB2312" w:cs="宋体"/>
          <w:color w:val="auto"/>
          <w:sz w:val="24"/>
          <w:highlight w:val="none"/>
          <w:lang w:val="en-US" w:eastAsia="zh-CN"/>
        </w:rPr>
        <w:t>01</w:t>
      </w:r>
      <w:r>
        <w:rPr>
          <w:rFonts w:hint="eastAsia" w:ascii="仿宋_GB2312" w:hAnsi="仿宋" w:eastAsia="仿宋_GB2312" w:cs="宋体"/>
          <w:color w:val="auto"/>
          <w:sz w:val="24"/>
          <w:highlight w:val="none"/>
        </w:rPr>
        <w:t>月</w:t>
      </w:r>
      <w:r>
        <w:rPr>
          <w:rFonts w:hint="eastAsia" w:ascii="仿宋_GB2312" w:hAnsi="仿宋" w:eastAsia="仿宋_GB2312" w:cs="宋体"/>
          <w:color w:val="auto"/>
          <w:sz w:val="24"/>
          <w:highlight w:val="none"/>
          <w:lang w:val="en-US" w:eastAsia="zh-CN"/>
        </w:rPr>
        <w:t>17</w:t>
      </w:r>
      <w:r>
        <w:rPr>
          <w:rFonts w:hint="eastAsia" w:ascii="仿宋_GB2312" w:hAnsi="仿宋" w:eastAsia="仿宋_GB2312" w:cs="宋体"/>
          <w:color w:val="auto"/>
          <w:sz w:val="24"/>
          <w:highlight w:val="none"/>
        </w:rPr>
        <w:t>日00时00分01秒(提供期限自本公告发布之日起不得少于5个工作日)。</w:t>
      </w:r>
    </w:p>
    <w:p w14:paraId="3B8CC671">
      <w:pPr>
        <w:spacing w:line="360" w:lineRule="auto"/>
        <w:ind w:firstLine="54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地点：</w:t>
      </w:r>
      <w:bookmarkStart w:id="20" w:name="_Toc28359082"/>
      <w:bookmarkStart w:id="21" w:name="_Toc28359005"/>
      <w:bookmarkStart w:id="22" w:name="_Toc35393624"/>
      <w:bookmarkStart w:id="23" w:name="_Toc35393793"/>
      <w:r>
        <w:rPr>
          <w:rFonts w:hint="eastAsia" w:ascii="仿宋_GB2312" w:hAnsi="仿宋" w:eastAsia="仿宋_GB2312" w:cs="宋体"/>
          <w:color w:val="auto"/>
          <w:sz w:val="24"/>
          <w:highlight w:val="none"/>
        </w:rPr>
        <w:t>辽宁政府采购网</w:t>
      </w:r>
      <w:r>
        <w:rPr>
          <w:rFonts w:hint="eastAsia" w:ascii="仿宋_GB2312" w:hAnsi="仿宋" w:eastAsia="仿宋_GB2312" w:cs="仿宋_GB2312"/>
          <w:color w:val="auto"/>
          <w:sz w:val="24"/>
          <w:highlight w:val="none"/>
        </w:rPr>
        <w:t>（</w:t>
      </w:r>
      <w:r>
        <w:rPr>
          <w:rFonts w:ascii="仿宋_GB2312" w:hAnsi="仿宋" w:eastAsia="仿宋_GB2312" w:cs="仿宋_GB2312"/>
          <w:color w:val="auto"/>
          <w:sz w:val="24"/>
          <w:highlight w:val="none"/>
        </w:rPr>
        <w:t>http://www.ccgp-liaoning.gov.cn/</w:t>
      </w:r>
      <w:r>
        <w:rPr>
          <w:rFonts w:hint="eastAsia" w:ascii="仿宋_GB2312" w:hAnsi="仿宋" w:eastAsia="仿宋_GB2312" w:cs="仿宋_GB2312"/>
          <w:color w:val="auto"/>
          <w:sz w:val="24"/>
          <w:highlight w:val="none"/>
        </w:rPr>
        <w:t>）</w:t>
      </w:r>
    </w:p>
    <w:p w14:paraId="10C2DA3F">
      <w:pPr>
        <w:spacing w:line="360" w:lineRule="auto"/>
        <w:ind w:firstLine="54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方式：辽宁政府采购网网上下载</w:t>
      </w:r>
    </w:p>
    <w:p w14:paraId="2385C90E">
      <w:pPr>
        <w:spacing w:line="360" w:lineRule="auto"/>
        <w:ind w:firstLine="54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售价：免费</w:t>
      </w:r>
    </w:p>
    <w:p w14:paraId="4387A599">
      <w:pPr>
        <w:spacing w:line="360"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五、提交投标文件</w:t>
      </w:r>
      <w:bookmarkEnd w:id="20"/>
      <w:bookmarkEnd w:id="21"/>
      <w:r>
        <w:rPr>
          <w:rFonts w:hint="eastAsia" w:ascii="仿宋_GB2312" w:hAnsi="仿宋" w:eastAsia="仿宋_GB2312"/>
          <w:b/>
          <w:color w:val="auto"/>
          <w:sz w:val="24"/>
          <w:highlight w:val="none"/>
        </w:rPr>
        <w:t>截止时间、开标时间和地点</w:t>
      </w:r>
      <w:bookmarkEnd w:id="22"/>
      <w:bookmarkEnd w:id="23"/>
    </w:p>
    <w:p w14:paraId="39895E93">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lang w:eastAsia="zh-CN"/>
        </w:rPr>
        <w:t>2025年02月07日</w:t>
      </w:r>
      <w:r>
        <w:rPr>
          <w:rFonts w:hint="eastAsia" w:ascii="仿宋_GB2312" w:hAnsi="仿宋" w:eastAsia="仿宋_GB2312" w:cs="宋体"/>
          <w:color w:val="auto"/>
          <w:sz w:val="24"/>
          <w:highlight w:val="none"/>
        </w:rPr>
        <w:t>13时30分（北京时间）</w:t>
      </w:r>
    </w:p>
    <w:p w14:paraId="343AD7FC">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地点：辽宁政府采购网</w:t>
      </w:r>
    </w:p>
    <w:p w14:paraId="11ACD367">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方式：电子版投标文件上传至辽宁政府采购网（http://www.ccgp-liaoning.gov.cn/），以U盘形式存储的加密备份文件递交至辽宁省沈抚公共资源交易服务有限公司（辽宁省沈阳市皇姑区北陵大街34号3号楼1510室）。</w:t>
      </w:r>
    </w:p>
    <w:p w14:paraId="615409A1">
      <w:pPr>
        <w:spacing w:line="360" w:lineRule="auto"/>
        <w:jc w:val="left"/>
        <w:rPr>
          <w:rFonts w:ascii="仿宋_GB2312" w:hAnsi="仿宋" w:eastAsia="仿宋_GB2312"/>
          <w:b/>
          <w:color w:val="auto"/>
          <w:sz w:val="24"/>
          <w:highlight w:val="none"/>
        </w:rPr>
      </w:pPr>
      <w:bookmarkStart w:id="24" w:name="_Toc28359084"/>
      <w:bookmarkStart w:id="25" w:name="_Toc35393794"/>
      <w:bookmarkStart w:id="26" w:name="_Toc35393625"/>
      <w:bookmarkStart w:id="27" w:name="_Toc28359007"/>
      <w:r>
        <w:rPr>
          <w:rFonts w:hint="eastAsia" w:ascii="仿宋_GB2312" w:hAnsi="仿宋" w:eastAsia="仿宋_GB2312"/>
          <w:b/>
          <w:color w:val="auto"/>
          <w:sz w:val="24"/>
          <w:highlight w:val="none"/>
        </w:rPr>
        <w:t>六、公告期限</w:t>
      </w:r>
      <w:bookmarkEnd w:id="24"/>
      <w:bookmarkEnd w:id="25"/>
      <w:bookmarkEnd w:id="26"/>
      <w:bookmarkEnd w:id="27"/>
    </w:p>
    <w:p w14:paraId="17FF16A8">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自本公告发布之日起5个工作日。</w:t>
      </w:r>
    </w:p>
    <w:p w14:paraId="2AA1609A">
      <w:pPr>
        <w:spacing w:line="360"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七、质疑与投诉</w:t>
      </w:r>
    </w:p>
    <w:p w14:paraId="0CA0D27C">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供应商认为自己的权益受到损害的，可以在知道或者应知其权益受到损害之日起七个工作日内，向采购组织机构或采购人提出质疑。</w:t>
      </w:r>
    </w:p>
    <w:p w14:paraId="3FA98482">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1.接收质疑函方式：线上或书面纸质质疑函；</w:t>
      </w:r>
    </w:p>
    <w:p w14:paraId="55F68E42">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2.质疑函内容、格式：应符合《政府采购质疑和投诉办法》相关规定和财政部制定的《政府采购质疑函范本》格式，详见辽宁政府采购网。</w:t>
      </w:r>
    </w:p>
    <w:p w14:paraId="2A17B782">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质疑供应商对采购人、采购组织机构的答复不满意，或者采购人、采购组织机构未在规定时间内作出答复的，可以在答复期满后15个工作日内向本级财政部门提起投诉。</w:t>
      </w:r>
    </w:p>
    <w:p w14:paraId="146B7F92">
      <w:pPr>
        <w:spacing w:line="360" w:lineRule="auto"/>
        <w:jc w:val="left"/>
        <w:rPr>
          <w:rFonts w:hint="eastAsia" w:ascii="仿宋_GB2312" w:hAnsi="仿宋" w:eastAsia="仿宋_GB2312" w:cs="宋体"/>
          <w:b/>
          <w:bCs w:val="0"/>
          <w:color w:val="auto"/>
          <w:sz w:val="24"/>
          <w:highlight w:val="none"/>
        </w:rPr>
      </w:pPr>
      <w:bookmarkStart w:id="28" w:name="_Toc35393795"/>
      <w:bookmarkStart w:id="29" w:name="_Toc35393626"/>
      <w:r>
        <w:rPr>
          <w:rFonts w:hint="eastAsia" w:ascii="仿宋_GB2312" w:hAnsi="仿宋" w:eastAsia="仿宋_GB2312"/>
          <w:b/>
          <w:bCs w:val="0"/>
          <w:color w:val="auto"/>
          <w:sz w:val="24"/>
          <w:highlight w:val="none"/>
        </w:rPr>
        <w:t>八、</w:t>
      </w:r>
      <w:r>
        <w:rPr>
          <w:rFonts w:hint="eastAsia" w:ascii="仿宋_GB2312" w:hAnsi="仿宋" w:eastAsia="仿宋_GB2312" w:cs="宋体"/>
          <w:b/>
          <w:bCs w:val="0"/>
          <w:color w:val="auto"/>
          <w:sz w:val="24"/>
          <w:highlight w:val="none"/>
        </w:rPr>
        <w:t>其他补充事宜</w:t>
      </w:r>
      <w:bookmarkEnd w:id="28"/>
      <w:bookmarkEnd w:id="29"/>
    </w:p>
    <w:p w14:paraId="058AD055">
      <w:pPr>
        <w:spacing w:line="360" w:lineRule="auto"/>
        <w:ind w:firstLine="540"/>
        <w:jc w:val="left"/>
        <w:rPr>
          <w:rFonts w:hint="eastAsia" w:ascii="仿宋_GB2312" w:hAnsi="仿宋" w:eastAsia="仿宋_GB2312" w:cs="宋体"/>
          <w:color w:val="auto"/>
          <w:sz w:val="24"/>
          <w:highlight w:val="none"/>
        </w:rPr>
      </w:pPr>
      <w:bookmarkStart w:id="30" w:name="_Toc35393627"/>
      <w:bookmarkStart w:id="31" w:name="_Toc35393796"/>
      <w:bookmarkStart w:id="32" w:name="_Toc28359085"/>
      <w:bookmarkStart w:id="33" w:name="_Toc28359008"/>
      <w:r>
        <w:rPr>
          <w:rFonts w:hint="eastAsia" w:ascii="仿宋_GB2312" w:hAnsi="仿宋" w:eastAsia="仿宋_GB2312" w:cs="宋体"/>
          <w:color w:val="auto"/>
          <w:sz w:val="24"/>
          <w:highlight w:val="none"/>
        </w:rPr>
        <w:t>1.供应商须及时办理CA数字证书，否则应自行承担无法正常参与项目的不利后果。供应商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14:paraId="69AAB30C">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2.响应文件递交方式为线上递交，同时需现场递交备份响应文件，并保持内容一致。备份响应文件为以U盘形式存储的加密备份文件，具体规定详见《关于完善政府采购电子评审业务流程等有关事宜的通知》（辽财采〔2021〕363号）。</w:t>
      </w:r>
    </w:p>
    <w:p w14:paraId="1B4622A1">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3.开标现场各供应商可远程解密或自行携带笔记本电脑及CA数字证书等电子设备，进行Ukey或手机移动证书（扫码）登录、报价解密等相关操作。</w:t>
      </w:r>
    </w:p>
    <w:p w14:paraId="2C8F9071">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lang w:val="en-US" w:eastAsia="zh-CN"/>
        </w:rPr>
        <w:t>4</w:t>
      </w:r>
      <w:r>
        <w:rPr>
          <w:rFonts w:hint="eastAsia" w:ascii="仿宋_GB2312" w:hAnsi="仿宋" w:eastAsia="仿宋_GB2312" w:cs="宋体"/>
          <w:color w:val="auto"/>
          <w:sz w:val="24"/>
          <w:highlight w:val="none"/>
        </w:rPr>
        <w:t>.报价解密原则上需在30分钟内完成。投标人因客观原因导致电子投标文件无法在规定时间内解密，将其无法解密原因报送给监督部门，经监督部门同意方可延长解密时间；若投标人因主观原因导致电子投标文件无法在规定时间内解密，造成的一切不良后果由投标人自行承担。</w:t>
      </w:r>
    </w:p>
    <w:p w14:paraId="724B76B1">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5.在电子化开评标过程中出现的其他特殊情况及其他未尽事宜，按财政厅最新文件执行。</w:t>
      </w:r>
    </w:p>
    <w:p w14:paraId="39264211">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注：供应商在投标的全过程中要随时关注辽宁政府采购网，及时获取相关信息，否则由此造成的一切后果，由供应商自行承担。</w:t>
      </w:r>
    </w:p>
    <w:p w14:paraId="240AEEB7">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辽宁省政府采购网技术咨询电话：400-128-8588</w:t>
      </w:r>
    </w:p>
    <w:p w14:paraId="1B4602C8">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 xml:space="preserve">CA数字证书办理咨询电话：024-26206677或15640359297  </w:t>
      </w:r>
    </w:p>
    <w:p w14:paraId="6EE8A540">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b/>
          <w:bCs/>
          <w:color w:val="auto"/>
          <w:sz w:val="24"/>
          <w:highlight w:val="none"/>
        </w:rPr>
        <w:t>特别说明：</w:t>
      </w:r>
    </w:p>
    <w:p w14:paraId="04CD055E">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1.供应商在递交投标（响应）文件截止时间前，是否递交加密的备份投标（响应）文件（以下简称“备份文件”）属于供应商个人意愿。如供应商未递交备份文件或备份文件包封不符合要求或备份文件未在投标截止时间及开标时间前送达的，采购</w:t>
      </w:r>
      <w:r>
        <w:rPr>
          <w:rFonts w:hint="eastAsia" w:ascii="仿宋_GB2312" w:hAnsi="仿宋" w:eastAsia="仿宋_GB2312" w:cs="宋体"/>
          <w:color w:val="auto"/>
          <w:sz w:val="24"/>
          <w:highlight w:val="none"/>
          <w:lang w:val="en-US" w:eastAsia="zh-CN"/>
        </w:rPr>
        <w:t>组织</w:t>
      </w:r>
      <w:r>
        <w:rPr>
          <w:rFonts w:hint="eastAsia" w:ascii="仿宋_GB2312" w:hAnsi="仿宋" w:eastAsia="仿宋_GB2312" w:cs="宋体"/>
          <w:color w:val="auto"/>
          <w:sz w:val="24"/>
          <w:highlight w:val="none"/>
        </w:rPr>
        <w:t>机构在开标现场的《投标文件递交情况一览表》上如实记录，但不作为否决投标（响应）的依据；若因此而影响评标（评审）的，由供应商自行承担相应责任。</w:t>
      </w:r>
    </w:p>
    <w:p w14:paraId="0F3F649B">
      <w:pPr>
        <w:spacing w:line="360" w:lineRule="auto"/>
        <w:ind w:firstLine="540"/>
        <w:jc w:val="left"/>
        <w:rPr>
          <w:rFonts w:hint="eastAsia" w:ascii="仿宋_GB2312" w:hAnsi="仿宋" w:eastAsia="仿宋_GB2312" w:cs="宋体"/>
          <w:color w:val="auto"/>
          <w:sz w:val="24"/>
          <w:highlight w:val="none"/>
        </w:rPr>
      </w:pPr>
      <w:r>
        <w:rPr>
          <w:rFonts w:hint="eastAsia" w:ascii="仿宋_GB2312" w:hAnsi="仿宋" w:eastAsia="仿宋_GB2312" w:cs="宋体"/>
          <w:color w:val="auto"/>
          <w:sz w:val="24"/>
          <w:highlight w:val="none"/>
        </w:rPr>
        <w:t>2.在政府采购系统遇突发故障且短时间无法恢复时，在采购人、采购</w:t>
      </w:r>
      <w:r>
        <w:rPr>
          <w:rFonts w:hint="eastAsia" w:ascii="仿宋_GB2312" w:hAnsi="仿宋" w:eastAsia="仿宋_GB2312" w:cs="宋体"/>
          <w:color w:val="auto"/>
          <w:sz w:val="24"/>
          <w:highlight w:val="none"/>
          <w:lang w:val="en-US" w:eastAsia="zh-CN"/>
        </w:rPr>
        <w:t>组织</w:t>
      </w:r>
      <w:r>
        <w:rPr>
          <w:rFonts w:hint="eastAsia" w:ascii="仿宋_GB2312" w:hAnsi="仿宋" w:eastAsia="仿宋_GB2312" w:cs="宋体"/>
          <w:color w:val="auto"/>
          <w:sz w:val="24"/>
          <w:highlight w:val="none"/>
        </w:rPr>
        <w:t>机构和相关供应商（供应商未到场的，通过视频方式进行确认）共同签字确认的情况下，现场启动备份文件进行评标（评审）。</w:t>
      </w:r>
    </w:p>
    <w:p w14:paraId="4A65EED3">
      <w:pPr>
        <w:spacing w:line="360" w:lineRule="auto"/>
        <w:ind w:firstLine="540"/>
        <w:jc w:val="left"/>
        <w:rPr>
          <w:rFonts w:hint="eastAsia" w:ascii="仿宋_GB2312" w:hAnsi="仿宋" w:eastAsia="仿宋_GB2312" w:cs="宋体"/>
          <w:color w:val="auto"/>
          <w:sz w:val="24"/>
          <w:highlight w:val="none"/>
          <w:lang w:eastAsia="zh-CN"/>
        </w:rPr>
      </w:pPr>
      <w:r>
        <w:rPr>
          <w:rFonts w:hint="eastAsia" w:ascii="仿宋_GB2312" w:hAnsi="仿宋" w:eastAsia="仿宋_GB2312" w:cs="宋体"/>
          <w:color w:val="auto"/>
          <w:sz w:val="24"/>
          <w:highlight w:val="none"/>
        </w:rPr>
        <w:t>3.供应商在政采系统上传的投标（响应）文件正常解密且采购活动正常进行的以政府采购系统上传的投标（响应）文件为准，备份文件自动失效，密封完好归档留存</w:t>
      </w:r>
      <w:r>
        <w:rPr>
          <w:rFonts w:hint="eastAsia" w:ascii="仿宋_GB2312" w:hAnsi="仿宋" w:eastAsia="仿宋_GB2312" w:cs="宋体"/>
          <w:color w:val="auto"/>
          <w:sz w:val="24"/>
          <w:highlight w:val="none"/>
          <w:lang w:eastAsia="zh-CN"/>
        </w:rPr>
        <w:t>。</w:t>
      </w:r>
    </w:p>
    <w:p w14:paraId="5BC0A644">
      <w:pPr>
        <w:keepNext w:val="0"/>
        <w:keepLines w:val="0"/>
        <w:pageBreakBefore w:val="0"/>
        <w:kinsoku/>
        <w:wordWrap/>
        <w:overflowPunct/>
        <w:topLinePunct w:val="0"/>
        <w:autoSpaceDE/>
        <w:autoSpaceDN/>
        <w:bidi w:val="0"/>
        <w:snapToGrid w:val="0"/>
        <w:spacing w:line="440" w:lineRule="exact"/>
        <w:ind w:firstLine="480" w:firstLineChars="200"/>
        <w:jc w:val="left"/>
        <w:textAlignment w:val="auto"/>
        <w:rPr>
          <w:rFonts w:hint="eastAsia"/>
          <w:color w:val="auto"/>
          <w:highlight w:val="none"/>
        </w:rPr>
      </w:pPr>
      <w:r>
        <w:rPr>
          <w:rFonts w:hint="eastAsia" w:ascii="仿宋_GB2312" w:hAnsi="仿宋" w:eastAsia="仿宋_GB2312" w:cs="宋体"/>
          <w:color w:val="auto"/>
          <w:sz w:val="24"/>
          <w:highlight w:val="none"/>
          <w:lang w:val="en-US" w:eastAsia="zh-CN"/>
        </w:rPr>
        <w:t>4.供应商在政采系统上传投标(响应)文件后，建议使用上传投标(响应)文件的 CA 数字证书进行模拟解密,如果出现任何问题，应及时联系相关技术支持人员进行解决。以保证投标(响应)文件能够在正式开标时顺利解密。</w:t>
      </w:r>
    </w:p>
    <w:p w14:paraId="1721DEB8">
      <w:pPr>
        <w:snapToGrid w:val="0"/>
        <w:spacing w:line="360" w:lineRule="auto"/>
        <w:jc w:val="left"/>
        <w:rPr>
          <w:rFonts w:ascii="仿宋_GB2312" w:hAnsi="仿宋" w:eastAsia="仿宋_GB2312"/>
          <w:b/>
          <w:color w:val="auto"/>
          <w:sz w:val="24"/>
          <w:highlight w:val="none"/>
        </w:rPr>
      </w:pPr>
      <w:r>
        <w:rPr>
          <w:rFonts w:hint="eastAsia" w:ascii="仿宋_GB2312" w:hAnsi="仿宋" w:eastAsia="仿宋_GB2312"/>
          <w:b/>
          <w:color w:val="auto"/>
          <w:sz w:val="24"/>
          <w:highlight w:val="none"/>
        </w:rPr>
        <w:t>九、对本次招标提出询问，请按以下方式联系。</w:t>
      </w:r>
      <w:bookmarkEnd w:id="30"/>
      <w:bookmarkEnd w:id="31"/>
      <w:bookmarkEnd w:id="32"/>
      <w:bookmarkEnd w:id="33"/>
    </w:p>
    <w:p w14:paraId="34C3A861">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1.采购人信息</w:t>
      </w:r>
    </w:p>
    <w:p w14:paraId="284152D7">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名    称：沈阳</w:t>
      </w:r>
      <w:r>
        <w:rPr>
          <w:rFonts w:hint="eastAsia" w:ascii="仿宋_GB2312" w:hAnsi="仿宋" w:eastAsia="仿宋_GB2312" w:cs="宋体"/>
          <w:color w:val="auto"/>
          <w:sz w:val="24"/>
          <w:highlight w:val="none"/>
          <w:lang w:val="en-US" w:eastAsia="zh-CN"/>
        </w:rPr>
        <w:t>农业</w:t>
      </w:r>
      <w:r>
        <w:rPr>
          <w:rFonts w:hint="eastAsia" w:ascii="仿宋_GB2312" w:hAnsi="仿宋" w:eastAsia="仿宋_GB2312" w:cs="宋体"/>
          <w:color w:val="auto"/>
          <w:sz w:val="24"/>
          <w:highlight w:val="none"/>
        </w:rPr>
        <w:t>大学</w:t>
      </w:r>
    </w:p>
    <w:p w14:paraId="53DA0756">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地    址：</w:t>
      </w:r>
      <w:r>
        <w:rPr>
          <w:rFonts w:hint="eastAsia" w:ascii="仿宋_GB2312" w:hAnsi="仿宋" w:eastAsia="仿宋_GB2312" w:cs="宋体"/>
          <w:color w:val="auto"/>
          <w:sz w:val="24"/>
          <w:highlight w:val="none"/>
        </w:rPr>
        <w:t>辽宁省沈阳市沈河区东陵路120号</w:t>
      </w:r>
    </w:p>
    <w:p w14:paraId="4989DD8C">
      <w:pPr>
        <w:widowControl/>
        <w:adjustRightInd w:val="0"/>
        <w:snapToGrid w:val="0"/>
        <w:spacing w:line="360" w:lineRule="auto"/>
        <w:ind w:firstLine="480"/>
        <w:jc w:val="left"/>
        <w:rPr>
          <w:rFonts w:hint="eastAsia" w:ascii="仿宋_GB2312" w:hAnsi="仿宋" w:eastAsia="仿宋_GB2312" w:cs="宋体"/>
          <w:color w:val="auto"/>
          <w:sz w:val="24"/>
          <w:highlight w:val="none"/>
          <w:lang w:val="en-US" w:eastAsia="zh-CN"/>
        </w:rPr>
      </w:pPr>
      <w:r>
        <w:rPr>
          <w:rFonts w:hint="eastAsia" w:ascii="仿宋_GB2312" w:hAnsi="仿宋" w:eastAsia="仿宋_GB2312" w:cs="宋体"/>
          <w:color w:val="auto"/>
          <w:sz w:val="24"/>
          <w:highlight w:val="none"/>
        </w:rPr>
        <w:t>联系方式：024-88487169</w:t>
      </w:r>
    </w:p>
    <w:p w14:paraId="6C3DFDED">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2.采购组织机构信息</w:t>
      </w:r>
    </w:p>
    <w:p w14:paraId="66AF5B8A">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名</w:t>
      </w:r>
      <w:r>
        <w:rPr>
          <w:rFonts w:hint="eastAsia" w:ascii="仿宋_GB2312" w:hAnsi="仿宋" w:eastAsia="仿宋_GB2312" w:cs="宋体"/>
          <w:color w:val="auto"/>
          <w:sz w:val="24"/>
          <w:highlight w:val="none"/>
          <w:lang w:val="en-US" w:eastAsia="zh-CN"/>
        </w:rPr>
        <w:t xml:space="preserve">   </w:t>
      </w:r>
      <w:r>
        <w:rPr>
          <w:rFonts w:hint="eastAsia" w:ascii="仿宋_GB2312" w:hAnsi="仿宋" w:eastAsia="仿宋_GB2312" w:cs="宋体"/>
          <w:color w:val="auto"/>
          <w:sz w:val="24"/>
          <w:highlight w:val="none"/>
        </w:rPr>
        <w:t xml:space="preserve"> 称：辽宁省沈抚公共资源交易服务有限公司</w:t>
      </w:r>
    </w:p>
    <w:p w14:paraId="2B94D8B5">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 xml:space="preserve">地 </w:t>
      </w:r>
      <w:r>
        <w:rPr>
          <w:rFonts w:hint="eastAsia" w:ascii="仿宋_GB2312" w:hAnsi="仿宋" w:eastAsia="仿宋_GB2312" w:cs="宋体"/>
          <w:color w:val="auto"/>
          <w:sz w:val="24"/>
          <w:highlight w:val="none"/>
          <w:lang w:val="en-US" w:eastAsia="zh-CN"/>
        </w:rPr>
        <w:t xml:space="preserve">   </w:t>
      </w:r>
      <w:r>
        <w:rPr>
          <w:rFonts w:hint="eastAsia" w:ascii="仿宋_GB2312" w:hAnsi="仿宋" w:eastAsia="仿宋_GB2312" w:cs="宋体"/>
          <w:color w:val="auto"/>
          <w:sz w:val="24"/>
          <w:highlight w:val="none"/>
        </w:rPr>
        <w:t>址：辽宁省沈阳市皇姑区北陵大街34号3号楼1502室</w:t>
      </w:r>
    </w:p>
    <w:p w14:paraId="53354A66">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联系方式：024-31513417</w:t>
      </w:r>
    </w:p>
    <w:p w14:paraId="748DFC28">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邮箱地址：</w:t>
      </w:r>
      <w:r>
        <w:rPr>
          <w:color w:val="auto"/>
          <w:highlight w:val="none"/>
        </w:rPr>
        <w:fldChar w:fldCharType="begin"/>
      </w:r>
      <w:r>
        <w:rPr>
          <w:color w:val="auto"/>
          <w:highlight w:val="none"/>
        </w:rPr>
        <w:instrText xml:space="preserve"> HYPERLINK "mailto:sfggzy@163.com" </w:instrText>
      </w:r>
      <w:r>
        <w:rPr>
          <w:color w:val="auto"/>
          <w:highlight w:val="none"/>
        </w:rPr>
        <w:fldChar w:fldCharType="separate"/>
      </w:r>
      <w:r>
        <w:rPr>
          <w:rFonts w:hint="eastAsia" w:ascii="仿宋_GB2312" w:hAnsi="仿宋" w:eastAsia="仿宋_GB2312" w:cs="宋体"/>
          <w:color w:val="auto"/>
          <w:sz w:val="24"/>
          <w:highlight w:val="none"/>
        </w:rPr>
        <w:t>sfggzy@163.com</w:t>
      </w:r>
      <w:r>
        <w:rPr>
          <w:rFonts w:hint="eastAsia" w:ascii="仿宋_GB2312" w:hAnsi="仿宋" w:eastAsia="仿宋_GB2312" w:cs="宋体"/>
          <w:color w:val="auto"/>
          <w:sz w:val="24"/>
          <w:highlight w:val="none"/>
        </w:rPr>
        <w:fldChar w:fldCharType="end"/>
      </w:r>
    </w:p>
    <w:p w14:paraId="44B20540">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账户名称：辽宁省沈抚公共资源交易服务有限公司</w:t>
      </w:r>
    </w:p>
    <w:p w14:paraId="5B084C82">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开 户 行：兴业银行沈阳皇姑支行</w:t>
      </w:r>
    </w:p>
    <w:p w14:paraId="020F7AAC">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 xml:space="preserve">账 </w:t>
      </w:r>
      <w:r>
        <w:rPr>
          <w:rFonts w:hint="eastAsia" w:ascii="仿宋_GB2312" w:hAnsi="仿宋" w:eastAsia="仿宋_GB2312" w:cs="宋体"/>
          <w:color w:val="auto"/>
          <w:sz w:val="24"/>
          <w:highlight w:val="none"/>
          <w:lang w:val="en-US" w:eastAsia="zh-CN"/>
        </w:rPr>
        <w:t xml:space="preserve">   </w:t>
      </w:r>
      <w:r>
        <w:rPr>
          <w:rFonts w:hint="eastAsia" w:ascii="仿宋_GB2312" w:hAnsi="仿宋" w:eastAsia="仿宋_GB2312" w:cs="宋体"/>
          <w:color w:val="auto"/>
          <w:sz w:val="24"/>
          <w:highlight w:val="none"/>
        </w:rPr>
        <w:t>号：</w:t>
      </w:r>
      <w:r>
        <w:rPr>
          <w:rFonts w:ascii="仿宋_GB2312" w:hAnsi="仿宋" w:eastAsia="仿宋_GB2312" w:cs="宋体"/>
          <w:color w:val="auto"/>
          <w:sz w:val="24"/>
          <w:highlight w:val="none"/>
        </w:rPr>
        <w:t>422050100100241316</w:t>
      </w:r>
    </w:p>
    <w:p w14:paraId="0169BF13">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3.项目联系方式</w:t>
      </w:r>
    </w:p>
    <w:p w14:paraId="785837FF">
      <w:pPr>
        <w:widowControl/>
        <w:adjustRightInd w:val="0"/>
        <w:snapToGrid w:val="0"/>
        <w:spacing w:line="360" w:lineRule="auto"/>
        <w:ind w:firstLine="480"/>
        <w:jc w:val="left"/>
        <w:rPr>
          <w:rFonts w:hint="eastAsia" w:ascii="仿宋_GB2312" w:hAnsi="仿宋" w:eastAsia="仿宋_GB2312" w:cs="宋体"/>
          <w:color w:val="auto"/>
          <w:sz w:val="24"/>
          <w:highlight w:val="none"/>
          <w:lang w:eastAsia="zh-CN"/>
        </w:rPr>
      </w:pPr>
      <w:r>
        <w:rPr>
          <w:rFonts w:hint="eastAsia" w:ascii="仿宋_GB2312" w:hAnsi="仿宋" w:eastAsia="仿宋_GB2312" w:cs="宋体"/>
          <w:color w:val="auto"/>
          <w:sz w:val="24"/>
          <w:highlight w:val="none"/>
        </w:rPr>
        <w:t>项目联系人：</w:t>
      </w:r>
      <w:r>
        <w:rPr>
          <w:rFonts w:hint="eastAsia" w:ascii="仿宋_GB2312" w:hAnsi="仿宋" w:eastAsia="仿宋_GB2312" w:cs="仿宋_GB2312"/>
          <w:color w:val="auto"/>
          <w:sz w:val="24"/>
          <w:highlight w:val="none"/>
        </w:rPr>
        <w:t>吴娜、</w:t>
      </w:r>
      <w:r>
        <w:rPr>
          <w:rFonts w:hint="eastAsia" w:ascii="仿宋_GB2312" w:hAnsi="仿宋" w:eastAsia="仿宋_GB2312" w:cs="仿宋_GB2312"/>
          <w:color w:val="auto"/>
          <w:sz w:val="24"/>
          <w:highlight w:val="none"/>
          <w:lang w:val="en-US" w:eastAsia="zh-CN"/>
        </w:rPr>
        <w:t>郝永恒</w:t>
      </w:r>
    </w:p>
    <w:p w14:paraId="5B1BF68C">
      <w:pPr>
        <w:widowControl/>
        <w:adjustRightInd w:val="0"/>
        <w:snapToGrid w:val="0"/>
        <w:spacing w:line="360" w:lineRule="auto"/>
        <w:ind w:firstLine="480"/>
        <w:jc w:val="left"/>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电</w:t>
      </w:r>
      <w:r>
        <w:rPr>
          <w:rFonts w:hint="eastAsia" w:ascii="仿宋_GB2312" w:hAnsi="仿宋" w:eastAsia="仿宋_GB2312" w:cs="宋体"/>
          <w:color w:val="auto"/>
          <w:sz w:val="24"/>
          <w:highlight w:val="none"/>
          <w:lang w:val="en-US" w:eastAsia="zh-CN"/>
        </w:rPr>
        <w:t xml:space="preserve">    </w:t>
      </w:r>
      <w:r>
        <w:rPr>
          <w:rFonts w:hint="eastAsia" w:ascii="仿宋_GB2312" w:hAnsi="仿宋" w:eastAsia="仿宋_GB2312" w:cs="宋体"/>
          <w:color w:val="auto"/>
          <w:sz w:val="24"/>
          <w:highlight w:val="none"/>
        </w:rPr>
        <w:t>话：024-31513417</w:t>
      </w:r>
    </w:p>
    <w:p w14:paraId="3762F0A5">
      <w:pPr>
        <w:snapToGrid w:val="0"/>
        <w:spacing w:line="360" w:lineRule="auto"/>
        <w:ind w:left="1079" w:leftChars="371" w:hanging="300" w:hangingChars="125"/>
        <w:jc w:val="right"/>
        <w:rPr>
          <w:rFonts w:ascii="仿宋_GB2312" w:hAnsi="仿宋" w:eastAsia="仿宋_GB2312"/>
          <w:color w:val="auto"/>
          <w:sz w:val="24"/>
          <w:highlight w:val="none"/>
        </w:rPr>
      </w:pPr>
      <w:r>
        <w:rPr>
          <w:rFonts w:hint="eastAsia" w:ascii="仿宋_GB2312" w:hAnsi="仿宋" w:eastAsia="仿宋_GB2312"/>
          <w:color w:val="auto"/>
          <w:sz w:val="24"/>
          <w:highlight w:val="none"/>
        </w:rPr>
        <w:t>辽宁省沈抚公共资源交易服务有限公司</w:t>
      </w:r>
    </w:p>
    <w:p w14:paraId="790090C1">
      <w:pPr>
        <w:widowControl/>
        <w:spacing w:line="520" w:lineRule="exact"/>
        <w:ind w:firstLine="480" w:firstLineChars="200"/>
        <w:rPr>
          <w:rFonts w:hint="eastAsia" w:ascii="仿宋_GB2312" w:hAnsi="仿宋" w:eastAsia="仿宋_GB2312" w:cs="仿宋_GB2312"/>
          <w:b/>
          <w:bCs/>
          <w:color w:val="auto"/>
          <w:kern w:val="0"/>
          <w:sz w:val="24"/>
          <w:highlight w:val="none"/>
          <w:lang w:eastAsia="zh-CN"/>
        </w:rPr>
      </w:pPr>
      <w:r>
        <w:rPr>
          <w:rFonts w:hint="eastAsia" w:ascii="仿宋_GB2312" w:hAnsi="仿宋" w:eastAsia="仿宋_GB2312"/>
          <w:color w:val="auto"/>
          <w:sz w:val="24"/>
          <w:highlight w:val="none"/>
        </w:rPr>
        <w:t xml:space="preserve">                                      </w:t>
      </w:r>
      <w:r>
        <w:rPr>
          <w:rFonts w:hint="eastAsia" w:ascii="仿宋_GB2312" w:hAnsi="仿宋" w:eastAsia="仿宋_GB2312"/>
          <w:color w:val="auto"/>
          <w:sz w:val="24"/>
          <w:highlight w:val="none"/>
          <w:lang w:val="en-US" w:eastAsia="zh-CN"/>
        </w:rPr>
        <w:t xml:space="preserve">    </w:t>
      </w:r>
      <w:r>
        <w:rPr>
          <w:rFonts w:hint="eastAsia" w:ascii="仿宋_GB2312" w:hAnsi="仿宋" w:eastAsia="仿宋_GB2312"/>
          <w:color w:val="auto"/>
          <w:sz w:val="24"/>
          <w:highlight w:val="none"/>
          <w:lang w:eastAsia="zh-CN"/>
        </w:rPr>
        <w:t>2025年01月09日</w:t>
      </w:r>
    </w:p>
    <w:p w14:paraId="5D047ACD">
      <w:pPr>
        <w:rPr>
          <w:rFonts w:hint="eastAsia" w:ascii="方正小标宋简体" w:hAnsi="仿宋" w:eastAsia="方正小标宋简体" w:cs="仿宋_GB2312"/>
          <w:color w:val="auto"/>
          <w:highlight w:val="none"/>
        </w:rPr>
      </w:pPr>
      <w:r>
        <w:rPr>
          <w:rFonts w:hint="eastAsia" w:ascii="方正小标宋简体" w:hAnsi="仿宋" w:eastAsia="方正小标宋简体" w:cs="仿宋_GB2312"/>
          <w:color w:val="auto"/>
          <w:highlight w:val="none"/>
        </w:rPr>
        <w:br w:type="page"/>
      </w:r>
    </w:p>
    <w:p w14:paraId="0C45B130">
      <w:pPr>
        <w:pStyle w:val="2"/>
        <w:keepNext/>
        <w:keepLines/>
        <w:pageBreakBefore w:val="0"/>
        <w:widowControl w:val="0"/>
        <w:kinsoku/>
        <w:wordWrap/>
        <w:overflowPunct/>
        <w:topLinePunct w:val="0"/>
        <w:autoSpaceDE/>
        <w:autoSpaceDN/>
        <w:bidi w:val="0"/>
        <w:adjustRightInd w:val="0"/>
        <w:snapToGrid w:val="0"/>
        <w:spacing w:before="313" w:beforeLines="100" w:after="313" w:afterLines="100"/>
        <w:jc w:val="center"/>
        <w:textAlignment w:val="auto"/>
        <w:rPr>
          <w:rFonts w:ascii="方正小标宋简体" w:hAnsi="仿宋" w:eastAsia="方正小标宋简体" w:cs="仿宋_GB2312"/>
          <w:b w:val="0"/>
          <w:bCs/>
          <w:color w:val="auto"/>
          <w:highlight w:val="none"/>
        </w:rPr>
      </w:pPr>
      <w:bookmarkStart w:id="34" w:name="_Toc9067"/>
      <w:r>
        <w:rPr>
          <w:rFonts w:hint="eastAsia" w:ascii="方正小标宋简体" w:hAnsi="仿宋" w:eastAsia="方正小标宋简体" w:cs="仿宋_GB2312"/>
          <w:b w:val="0"/>
          <w:bCs/>
          <w:color w:val="auto"/>
          <w:highlight w:val="none"/>
        </w:rPr>
        <w:t>第一章 投标人须知</w:t>
      </w:r>
      <w:bookmarkEnd w:id="4"/>
      <w:bookmarkEnd w:id="5"/>
      <w:bookmarkEnd w:id="34"/>
    </w:p>
    <w:p w14:paraId="312D5A0F">
      <w:pPr>
        <w:pStyle w:val="3"/>
        <w:adjustRightInd w:val="0"/>
        <w:snapToGrid w:val="0"/>
        <w:spacing w:before="0" w:after="0" w:line="360" w:lineRule="auto"/>
        <w:rPr>
          <w:rFonts w:ascii="仿宋_GB2312" w:hAnsi="仿宋" w:eastAsia="仿宋_GB2312" w:cs="仿宋_GB2312"/>
          <w:color w:val="auto"/>
          <w:sz w:val="32"/>
          <w:szCs w:val="36"/>
          <w:highlight w:val="none"/>
        </w:rPr>
      </w:pPr>
      <w:bookmarkStart w:id="35" w:name="_Toc18613_WPSOffice_Level2"/>
      <w:r>
        <w:rPr>
          <w:rFonts w:hint="eastAsia" w:ascii="仿宋_GB2312" w:hAnsi="仿宋" w:eastAsia="仿宋_GB2312" w:cs="仿宋_GB2312"/>
          <w:color w:val="auto"/>
          <w:sz w:val="32"/>
          <w:szCs w:val="36"/>
          <w:highlight w:val="none"/>
        </w:rPr>
        <w:t>一 投标人须知表</w:t>
      </w:r>
      <w:bookmarkEnd w:id="35"/>
    </w:p>
    <w:tbl>
      <w:tblPr>
        <w:tblStyle w:val="25"/>
        <w:tblpPr w:leftFromText="180" w:rightFromText="180" w:vertAnchor="text" w:tblpX="-176" w:tblpY="1"/>
        <w:tblOverlap w:val="never"/>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762"/>
        <w:gridCol w:w="6068"/>
      </w:tblGrid>
      <w:tr w14:paraId="4AB8E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blHeader/>
        </w:trPr>
        <w:tc>
          <w:tcPr>
            <w:tcW w:w="959" w:type="dxa"/>
            <w:vAlign w:val="center"/>
          </w:tcPr>
          <w:p w14:paraId="42DF3A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b/>
                <w:bCs/>
                <w:color w:val="auto"/>
                <w:kern w:val="0"/>
                <w:sz w:val="24"/>
                <w:highlight w:val="none"/>
              </w:rPr>
            </w:pPr>
            <w:bookmarkStart w:id="36" w:name="sys_招标项目基本内容及要求：Block"/>
            <w:bookmarkEnd w:id="36"/>
            <w:bookmarkStart w:id="37" w:name="招标项目基本内容及要求其他：Block"/>
            <w:bookmarkEnd w:id="37"/>
            <w:bookmarkStart w:id="38" w:name="招标项目基本内容及要求：Block"/>
            <w:bookmarkEnd w:id="38"/>
            <w:bookmarkStart w:id="39" w:name="sys_招标项目基本内容及要求其他：Block"/>
            <w:bookmarkEnd w:id="39"/>
            <w:r>
              <w:rPr>
                <w:rFonts w:hint="eastAsia" w:ascii="仿宋_GB2312" w:hAnsi="仿宋" w:eastAsia="仿宋_GB2312" w:cs="仿宋_GB2312"/>
                <w:b/>
                <w:bCs/>
                <w:color w:val="auto"/>
                <w:kern w:val="0"/>
                <w:sz w:val="24"/>
                <w:highlight w:val="none"/>
              </w:rPr>
              <w:t>条款号</w:t>
            </w:r>
          </w:p>
        </w:tc>
        <w:tc>
          <w:tcPr>
            <w:tcW w:w="1762" w:type="dxa"/>
            <w:vAlign w:val="center"/>
          </w:tcPr>
          <w:p w14:paraId="7306C310">
            <w:pPr>
              <w:keepNext w:val="0"/>
              <w:keepLines w:val="0"/>
              <w:pageBreakBefore w:val="0"/>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b/>
                <w:bCs/>
                <w:color w:val="auto"/>
                <w:kern w:val="0"/>
                <w:sz w:val="24"/>
                <w:highlight w:val="none"/>
              </w:rPr>
            </w:pPr>
            <w:r>
              <w:rPr>
                <w:rFonts w:hint="eastAsia" w:ascii="仿宋_GB2312" w:hAnsi="仿宋" w:eastAsia="仿宋_GB2312" w:cs="仿宋_GB2312"/>
                <w:b/>
                <w:bCs/>
                <w:color w:val="auto"/>
                <w:kern w:val="0"/>
                <w:sz w:val="24"/>
                <w:highlight w:val="none"/>
              </w:rPr>
              <w:t>项   目</w:t>
            </w:r>
          </w:p>
        </w:tc>
        <w:tc>
          <w:tcPr>
            <w:tcW w:w="6068" w:type="dxa"/>
            <w:vAlign w:val="center"/>
          </w:tcPr>
          <w:p w14:paraId="05C459C1">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b/>
                <w:bCs/>
                <w:color w:val="auto"/>
                <w:kern w:val="0"/>
                <w:sz w:val="24"/>
                <w:highlight w:val="none"/>
              </w:rPr>
            </w:pPr>
            <w:r>
              <w:rPr>
                <w:rFonts w:hint="eastAsia" w:ascii="仿宋_GB2312" w:hAnsi="仿宋" w:eastAsia="仿宋_GB2312" w:cs="仿宋_GB2312"/>
                <w:b/>
                <w:bCs/>
                <w:color w:val="auto"/>
                <w:kern w:val="0"/>
                <w:sz w:val="24"/>
                <w:highlight w:val="none"/>
              </w:rPr>
              <w:t>内     容</w:t>
            </w:r>
          </w:p>
        </w:tc>
      </w:tr>
      <w:tr w14:paraId="6F3E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959" w:type="dxa"/>
            <w:vAlign w:val="center"/>
          </w:tcPr>
          <w:p w14:paraId="4C199F9B">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1.1</w:t>
            </w:r>
          </w:p>
        </w:tc>
        <w:tc>
          <w:tcPr>
            <w:tcW w:w="1762" w:type="dxa"/>
            <w:vAlign w:val="center"/>
          </w:tcPr>
          <w:p w14:paraId="6ED58274">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采购人</w:t>
            </w:r>
          </w:p>
        </w:tc>
        <w:tc>
          <w:tcPr>
            <w:tcW w:w="6068" w:type="dxa"/>
            <w:vAlign w:val="center"/>
          </w:tcPr>
          <w:p w14:paraId="56AB191C">
            <w:pPr>
              <w:widowControl/>
              <w:spacing w:line="360" w:lineRule="auto"/>
              <w:jc w:val="left"/>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名  称：</w:t>
            </w:r>
            <w:r>
              <w:rPr>
                <w:rFonts w:hint="eastAsia" w:ascii="仿宋_GB2312" w:hAnsi="仿宋" w:eastAsia="仿宋_GB2312"/>
                <w:color w:val="auto"/>
                <w:kern w:val="0"/>
                <w:sz w:val="24"/>
                <w:highlight w:val="none"/>
                <w:u w:val="single"/>
              </w:rPr>
              <w:t>沈阳农业大学</w:t>
            </w:r>
          </w:p>
          <w:p w14:paraId="17A5BE65">
            <w:pPr>
              <w:widowControl/>
              <w:spacing w:line="360" w:lineRule="auto"/>
              <w:jc w:val="left"/>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地  址：</w:t>
            </w:r>
            <w:r>
              <w:rPr>
                <w:rFonts w:hint="eastAsia" w:ascii="仿宋_GB2312" w:hAnsi="仿宋" w:eastAsia="仿宋_GB2312"/>
                <w:color w:val="auto"/>
                <w:kern w:val="0"/>
                <w:sz w:val="24"/>
                <w:highlight w:val="none"/>
                <w:u w:val="single"/>
              </w:rPr>
              <w:t>辽宁省沈阳市沈河区东陵路120号</w:t>
            </w:r>
          </w:p>
          <w:p w14:paraId="50C43E37">
            <w:pPr>
              <w:widowControl/>
              <w:spacing w:line="360" w:lineRule="auto"/>
              <w:jc w:val="left"/>
              <w:rPr>
                <w:rFonts w:hint="eastAsia" w:ascii="仿宋_GB2312" w:hAnsi="仿宋" w:eastAsia="仿宋_GB2312"/>
                <w:color w:val="auto"/>
                <w:kern w:val="0"/>
                <w:sz w:val="24"/>
                <w:highlight w:val="none"/>
                <w:u w:val="single"/>
                <w:lang w:val="en-US" w:eastAsia="zh-CN"/>
              </w:rPr>
            </w:pPr>
            <w:r>
              <w:rPr>
                <w:rFonts w:hint="eastAsia" w:ascii="仿宋_GB2312" w:hAnsi="仿宋" w:eastAsia="仿宋_GB2312"/>
                <w:color w:val="auto"/>
                <w:kern w:val="0"/>
                <w:sz w:val="24"/>
                <w:highlight w:val="none"/>
              </w:rPr>
              <w:t>联系人：</w:t>
            </w:r>
            <w:r>
              <w:rPr>
                <w:rFonts w:hint="eastAsia" w:ascii="仿宋_GB2312" w:hAnsi="仿宋" w:eastAsia="仿宋_GB2312"/>
                <w:color w:val="auto"/>
                <w:kern w:val="0"/>
                <w:sz w:val="24"/>
                <w:highlight w:val="none"/>
                <w:u w:val="single"/>
                <w:lang w:val="en-US" w:eastAsia="zh-CN"/>
              </w:rPr>
              <w:t>毛老师</w:t>
            </w:r>
          </w:p>
          <w:p w14:paraId="11E36933">
            <w:pPr>
              <w:widowControl/>
              <w:spacing w:line="360" w:lineRule="auto"/>
              <w:jc w:val="left"/>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rPr>
              <w:t>电  话</w:t>
            </w:r>
            <w:r>
              <w:rPr>
                <w:rFonts w:hint="eastAsia" w:ascii="仿宋_GB2312" w:hAnsi="仿宋" w:eastAsia="仿宋_GB2312"/>
                <w:color w:val="auto"/>
                <w:kern w:val="0"/>
                <w:sz w:val="24"/>
                <w:highlight w:val="none"/>
                <w:lang w:eastAsia="zh-CN"/>
              </w:rPr>
              <w:t>：</w:t>
            </w:r>
            <w:r>
              <w:rPr>
                <w:rFonts w:hint="eastAsia" w:ascii="仿宋_GB2312" w:hAnsi="仿宋" w:eastAsia="仿宋_GB2312"/>
                <w:color w:val="auto"/>
                <w:kern w:val="0"/>
                <w:sz w:val="24"/>
                <w:highlight w:val="none"/>
                <w:u w:val="single"/>
                <w:lang w:eastAsia="zh-CN"/>
              </w:rPr>
              <w:t>024-88487169</w:t>
            </w:r>
          </w:p>
        </w:tc>
      </w:tr>
      <w:tr w14:paraId="52357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trPr>
        <w:tc>
          <w:tcPr>
            <w:tcW w:w="959" w:type="dxa"/>
            <w:vAlign w:val="center"/>
          </w:tcPr>
          <w:p w14:paraId="0EF0B059">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1.2</w:t>
            </w:r>
          </w:p>
        </w:tc>
        <w:tc>
          <w:tcPr>
            <w:tcW w:w="1762" w:type="dxa"/>
            <w:vAlign w:val="center"/>
          </w:tcPr>
          <w:p w14:paraId="2B17F525">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采购组织机构</w:t>
            </w:r>
          </w:p>
        </w:tc>
        <w:tc>
          <w:tcPr>
            <w:tcW w:w="6068" w:type="dxa"/>
            <w:vAlign w:val="center"/>
          </w:tcPr>
          <w:p w14:paraId="41D91213">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名  称：</w:t>
            </w:r>
            <w:r>
              <w:rPr>
                <w:rFonts w:hint="eastAsia" w:ascii="仿宋_GB2312" w:hAnsi="仿宋" w:eastAsia="仿宋_GB2312"/>
                <w:color w:val="auto"/>
                <w:kern w:val="0"/>
                <w:sz w:val="24"/>
                <w:highlight w:val="none"/>
                <w:u w:val="single"/>
              </w:rPr>
              <w:t>辽宁省沈抚公共资源交易服务有限公司</w:t>
            </w:r>
          </w:p>
          <w:p w14:paraId="662224B6">
            <w:pPr>
              <w:widowControl/>
              <w:spacing w:line="360" w:lineRule="auto"/>
              <w:jc w:val="left"/>
              <w:rPr>
                <w:rFonts w:ascii="仿宋_GB2312" w:hAnsi="仿宋" w:eastAsia="仿宋_GB2312"/>
                <w:color w:val="auto"/>
                <w:w w:val="95"/>
                <w:kern w:val="0"/>
                <w:sz w:val="24"/>
                <w:highlight w:val="none"/>
                <w:u w:val="single"/>
              </w:rPr>
            </w:pPr>
            <w:r>
              <w:rPr>
                <w:rFonts w:hint="eastAsia" w:ascii="仿宋_GB2312" w:hAnsi="仿宋" w:eastAsia="仿宋_GB2312"/>
                <w:color w:val="auto"/>
                <w:kern w:val="0"/>
                <w:sz w:val="24"/>
                <w:highlight w:val="none"/>
              </w:rPr>
              <w:t>地  址：</w:t>
            </w:r>
            <w:r>
              <w:rPr>
                <w:rFonts w:hint="eastAsia" w:ascii="仿宋_GB2312" w:hAnsi="仿宋" w:eastAsia="仿宋_GB2312"/>
                <w:color w:val="auto"/>
                <w:spacing w:val="-6"/>
                <w:w w:val="95"/>
                <w:kern w:val="0"/>
                <w:sz w:val="24"/>
                <w:highlight w:val="none"/>
                <w:u w:val="single"/>
              </w:rPr>
              <w:t>辽宁省沈阳市皇姑区北陵大街34号3号楼1502室</w:t>
            </w:r>
          </w:p>
          <w:p w14:paraId="3D03F07F">
            <w:pPr>
              <w:widowControl/>
              <w:spacing w:line="360" w:lineRule="auto"/>
              <w:jc w:val="left"/>
              <w:rPr>
                <w:rFonts w:ascii="仿宋_GB2312" w:hAnsi="仿宋" w:eastAsia="仿宋_GB2312"/>
                <w:color w:val="auto"/>
                <w:kern w:val="0"/>
                <w:sz w:val="24"/>
                <w:highlight w:val="none"/>
                <w:u w:val="single"/>
              </w:rPr>
            </w:pPr>
            <w:r>
              <w:rPr>
                <w:rFonts w:hint="eastAsia" w:ascii="仿宋_GB2312" w:hAnsi="仿宋" w:eastAsia="仿宋_GB2312"/>
                <w:color w:val="auto"/>
                <w:kern w:val="0"/>
                <w:sz w:val="24"/>
                <w:highlight w:val="none"/>
              </w:rPr>
              <w:t>联系人：</w:t>
            </w:r>
            <w:r>
              <w:rPr>
                <w:rFonts w:hint="eastAsia" w:ascii="仿宋_GB2312" w:hAnsi="仿宋" w:eastAsia="仿宋_GB2312"/>
                <w:color w:val="auto"/>
                <w:kern w:val="0"/>
                <w:sz w:val="24"/>
                <w:highlight w:val="none"/>
                <w:u w:val="single"/>
              </w:rPr>
              <w:t>吴娜、</w:t>
            </w:r>
            <w:r>
              <w:rPr>
                <w:rFonts w:hint="eastAsia" w:ascii="仿宋_GB2312" w:hAnsi="仿宋" w:eastAsia="仿宋_GB2312"/>
                <w:color w:val="auto"/>
                <w:kern w:val="0"/>
                <w:sz w:val="24"/>
                <w:highlight w:val="none"/>
                <w:u w:val="single"/>
                <w:lang w:val="en-US" w:eastAsia="zh-CN"/>
              </w:rPr>
              <w:t>郝永恒</w:t>
            </w:r>
          </w:p>
          <w:p w14:paraId="42BB99BC">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电  话：</w:t>
            </w:r>
            <w:r>
              <w:rPr>
                <w:rFonts w:hint="eastAsia" w:ascii="仿宋_GB2312" w:hAnsi="仿宋" w:eastAsia="仿宋_GB2312"/>
                <w:color w:val="auto"/>
                <w:kern w:val="0"/>
                <w:sz w:val="24"/>
                <w:highlight w:val="none"/>
                <w:u w:val="single"/>
              </w:rPr>
              <w:t>024-31513417</w:t>
            </w:r>
          </w:p>
        </w:tc>
      </w:tr>
      <w:tr w14:paraId="13FC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959" w:type="dxa"/>
            <w:vAlign w:val="center"/>
          </w:tcPr>
          <w:p w14:paraId="03FB8915">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1.3.4</w:t>
            </w:r>
          </w:p>
        </w:tc>
        <w:tc>
          <w:tcPr>
            <w:tcW w:w="1762" w:type="dxa"/>
            <w:vAlign w:val="center"/>
          </w:tcPr>
          <w:p w14:paraId="2B50F81B">
            <w:pPr>
              <w:spacing w:line="360" w:lineRule="auto"/>
              <w:jc w:val="center"/>
              <w:rPr>
                <w:rFonts w:ascii="仿宋_GB2312" w:hAnsi="仿宋" w:eastAsia="仿宋_GB2312" w:cs="仿宋_GB2312"/>
                <w:b w:val="0"/>
                <w:bCs w:val="0"/>
                <w:color w:val="auto"/>
                <w:kern w:val="0"/>
                <w:sz w:val="24"/>
                <w:highlight w:val="none"/>
              </w:rPr>
            </w:pPr>
            <w:r>
              <w:rPr>
                <w:rFonts w:hint="eastAsia" w:ascii="仿宋_GB2312" w:hAnsi="仿宋" w:eastAsia="仿宋_GB2312" w:cs="仿宋_GB2312"/>
                <w:b w:val="0"/>
                <w:bCs w:val="0"/>
                <w:color w:val="auto"/>
                <w:kern w:val="0"/>
                <w:sz w:val="24"/>
                <w:highlight w:val="none"/>
              </w:rPr>
              <w:t>合格投标人还要满足的其它资格条件</w:t>
            </w:r>
          </w:p>
        </w:tc>
        <w:tc>
          <w:tcPr>
            <w:tcW w:w="6068" w:type="dxa"/>
            <w:vAlign w:val="center"/>
          </w:tcPr>
          <w:p w14:paraId="0E37C9B0">
            <w:pPr>
              <w:widowControl/>
              <w:spacing w:line="360" w:lineRule="auto"/>
              <w:ind w:firstLine="240" w:firstLineChars="100"/>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无。</w:t>
            </w:r>
          </w:p>
        </w:tc>
      </w:tr>
      <w:tr w14:paraId="67784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375965F3">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1.3.5</w:t>
            </w:r>
          </w:p>
        </w:tc>
        <w:tc>
          <w:tcPr>
            <w:tcW w:w="1762" w:type="dxa"/>
            <w:vAlign w:val="center"/>
          </w:tcPr>
          <w:p w14:paraId="4381F18C">
            <w:pPr>
              <w:spacing w:line="360" w:lineRule="auto"/>
              <w:jc w:val="center"/>
              <w:rPr>
                <w:rFonts w:ascii="仿宋_GB2312" w:hAnsi="仿宋" w:eastAsia="仿宋_GB2312" w:cs="仿宋_GB2312"/>
                <w:b w:val="0"/>
                <w:bCs w:val="0"/>
                <w:color w:val="auto"/>
                <w:kern w:val="0"/>
                <w:sz w:val="24"/>
                <w:highlight w:val="none"/>
              </w:rPr>
            </w:pPr>
            <w:r>
              <w:rPr>
                <w:rFonts w:hint="eastAsia" w:ascii="仿宋_GB2312" w:hAnsi="仿宋" w:eastAsia="仿宋_GB2312" w:cs="仿宋_GB2312"/>
                <w:b w:val="0"/>
                <w:bCs w:val="0"/>
                <w:color w:val="auto"/>
                <w:kern w:val="0"/>
                <w:sz w:val="24"/>
                <w:highlight w:val="none"/>
              </w:rPr>
              <w:t>是否允许采购进口产品</w:t>
            </w:r>
          </w:p>
        </w:tc>
        <w:tc>
          <w:tcPr>
            <w:tcW w:w="6068" w:type="dxa"/>
            <w:vAlign w:val="center"/>
          </w:tcPr>
          <w:p w14:paraId="1C95F0D0">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是</w:t>
            </w:r>
          </w:p>
          <w:p w14:paraId="602CA512">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否</w:t>
            </w:r>
          </w:p>
        </w:tc>
      </w:tr>
      <w:tr w14:paraId="6E0D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59" w:type="dxa"/>
            <w:vAlign w:val="center"/>
          </w:tcPr>
          <w:p w14:paraId="5C4AB577">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1.3.6</w:t>
            </w:r>
          </w:p>
        </w:tc>
        <w:tc>
          <w:tcPr>
            <w:tcW w:w="1762" w:type="dxa"/>
            <w:vAlign w:val="center"/>
          </w:tcPr>
          <w:p w14:paraId="39FEF06A">
            <w:pPr>
              <w:spacing w:line="360" w:lineRule="auto"/>
              <w:jc w:val="center"/>
              <w:rPr>
                <w:rFonts w:ascii="仿宋_GB2312" w:hAnsi="仿宋" w:eastAsia="仿宋_GB2312" w:cs="仿宋_GB2312"/>
                <w:b w:val="0"/>
                <w:bCs w:val="0"/>
                <w:color w:val="auto"/>
                <w:kern w:val="0"/>
                <w:sz w:val="24"/>
                <w:highlight w:val="none"/>
              </w:rPr>
            </w:pPr>
            <w:r>
              <w:rPr>
                <w:rFonts w:hint="eastAsia" w:ascii="仿宋_GB2312" w:hAnsi="仿宋" w:eastAsia="仿宋_GB2312" w:cs="仿宋_GB2312"/>
                <w:b w:val="0"/>
                <w:bCs w:val="0"/>
                <w:color w:val="auto"/>
                <w:kern w:val="0"/>
                <w:sz w:val="24"/>
                <w:highlight w:val="none"/>
              </w:rPr>
              <w:t>是否为专门面向中小企业采购</w:t>
            </w:r>
          </w:p>
        </w:tc>
        <w:tc>
          <w:tcPr>
            <w:tcW w:w="6068" w:type="dxa"/>
            <w:vAlign w:val="center"/>
          </w:tcPr>
          <w:p w14:paraId="5B2E2BC9">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是</w:t>
            </w:r>
          </w:p>
          <w:p w14:paraId="08396A51">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否</w:t>
            </w:r>
          </w:p>
        </w:tc>
      </w:tr>
      <w:tr w14:paraId="5903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959" w:type="dxa"/>
            <w:vAlign w:val="center"/>
          </w:tcPr>
          <w:p w14:paraId="2F1BD556">
            <w:pPr>
              <w:widowControl/>
              <w:snapToGrid w:val="0"/>
              <w:spacing w:line="360" w:lineRule="auto"/>
              <w:jc w:val="center"/>
              <w:rPr>
                <w:rFonts w:ascii="仿宋_GB2312" w:hAnsi="仿宋" w:eastAsia="仿宋_GB2312" w:cs="仿宋_GB2312"/>
                <w:b/>
                <w:bCs/>
                <w:color w:val="auto"/>
                <w:kern w:val="0"/>
                <w:sz w:val="24"/>
                <w:highlight w:val="none"/>
              </w:rPr>
            </w:pPr>
            <w:r>
              <w:rPr>
                <w:rFonts w:hint="eastAsia" w:ascii="仿宋_GB2312" w:hAnsi="仿宋" w:eastAsia="仿宋_GB2312" w:cs="仿宋_GB2312"/>
                <w:b/>
                <w:bCs/>
                <w:color w:val="auto"/>
                <w:kern w:val="0"/>
                <w:sz w:val="24"/>
                <w:highlight w:val="none"/>
              </w:rPr>
              <w:t>1.3.7</w:t>
            </w:r>
          </w:p>
        </w:tc>
        <w:tc>
          <w:tcPr>
            <w:tcW w:w="1762" w:type="dxa"/>
            <w:vAlign w:val="center"/>
          </w:tcPr>
          <w:p w14:paraId="1825E025">
            <w:pPr>
              <w:spacing w:line="360" w:lineRule="auto"/>
              <w:jc w:val="center"/>
              <w:rPr>
                <w:rFonts w:ascii="仿宋_GB2312" w:hAnsi="仿宋" w:eastAsia="仿宋_GB2312" w:cs="仿宋_GB2312"/>
                <w:b/>
                <w:bCs/>
                <w:color w:val="auto"/>
                <w:kern w:val="0"/>
                <w:sz w:val="24"/>
                <w:highlight w:val="none"/>
              </w:rPr>
            </w:pPr>
            <w:r>
              <w:rPr>
                <w:rFonts w:hint="eastAsia" w:ascii="仿宋_GB2312" w:hAnsi="仿宋" w:eastAsia="仿宋_GB2312" w:cs="仿宋_GB2312"/>
                <w:b/>
                <w:bCs/>
                <w:color w:val="auto"/>
                <w:kern w:val="0"/>
                <w:sz w:val="24"/>
                <w:highlight w:val="none"/>
              </w:rPr>
              <w:t>是否有政府强制采购的节能产品</w:t>
            </w:r>
          </w:p>
        </w:tc>
        <w:tc>
          <w:tcPr>
            <w:tcW w:w="6068" w:type="dxa"/>
            <w:vAlign w:val="center"/>
          </w:tcPr>
          <w:p w14:paraId="105A0BA8">
            <w:pPr>
              <w:widowControl/>
              <w:spacing w:line="360" w:lineRule="auto"/>
              <w:jc w:val="left"/>
              <w:rPr>
                <w:rFonts w:hint="default" w:ascii="仿宋_GB2312" w:hAnsi="仿宋" w:eastAsia="仿宋_GB2312"/>
                <w:b/>
                <w:bCs/>
                <w:color w:val="auto"/>
                <w:kern w:val="0"/>
                <w:sz w:val="24"/>
                <w:highlight w:val="none"/>
                <w:u w:val="single"/>
                <w:lang w:val="en-US" w:eastAsia="zh-CN"/>
              </w:rPr>
            </w:pPr>
            <w:r>
              <w:rPr>
                <w:rFonts w:hint="eastAsia" w:ascii="仿宋_GB2312" w:hAnsi="仿宋" w:eastAsia="仿宋_GB2312"/>
                <w:b/>
                <w:bCs/>
                <w:color w:val="auto"/>
                <w:kern w:val="0"/>
                <w:sz w:val="24"/>
                <w:highlight w:val="none"/>
              </w:rPr>
              <w:sym w:font="Wingdings 2" w:char="0052"/>
            </w:r>
            <w:r>
              <w:rPr>
                <w:rFonts w:hint="eastAsia" w:ascii="仿宋_GB2312" w:hAnsi="仿宋" w:eastAsia="仿宋_GB2312"/>
                <w:b/>
                <w:bCs/>
                <w:color w:val="auto"/>
                <w:kern w:val="0"/>
                <w:sz w:val="24"/>
                <w:highlight w:val="none"/>
              </w:rPr>
              <w:t xml:space="preserve"> 有，具体产品为</w:t>
            </w:r>
            <w:r>
              <w:rPr>
                <w:rFonts w:hint="eastAsia" w:ascii="仿宋_GB2312" w:hAnsi="仿宋" w:eastAsia="仿宋_GB2312" w:cs="Times New Roman"/>
                <w:b/>
                <w:bCs/>
                <w:color w:val="auto"/>
                <w:kern w:val="0"/>
                <w:sz w:val="24"/>
                <w:highlight w:val="none"/>
                <w:u w:val="single"/>
                <w:lang w:val="en-US" w:eastAsia="zh-CN"/>
              </w:rPr>
              <w:t xml:space="preserve"> 台式计算机，技术规格偏离表中为“教师电脑”；液晶显示器，技术规格偏离表中为“学生显示器”；制冷设备，技术规格偏离表中为“空调”。      </w:t>
            </w:r>
          </w:p>
          <w:p w14:paraId="68BCC1B9">
            <w:pPr>
              <w:widowControl/>
              <w:spacing w:line="360" w:lineRule="auto"/>
              <w:jc w:val="left"/>
              <w:rPr>
                <w:rFonts w:ascii="仿宋_GB2312" w:hAnsi="仿宋" w:eastAsia="仿宋_GB2312"/>
                <w:b/>
                <w:bCs/>
                <w:color w:val="auto"/>
                <w:kern w:val="0"/>
                <w:sz w:val="24"/>
                <w:highlight w:val="none"/>
              </w:rPr>
            </w:pPr>
            <w:r>
              <w:rPr>
                <w:rFonts w:hint="eastAsia" w:ascii="仿宋_GB2312" w:hAnsi="仿宋" w:eastAsia="仿宋_GB2312"/>
                <w:b/>
                <w:bCs/>
                <w:color w:val="auto"/>
                <w:kern w:val="0"/>
                <w:sz w:val="24"/>
                <w:highlight w:val="none"/>
              </w:rPr>
              <w:sym w:font="Wingdings 2" w:char="00A3"/>
            </w:r>
            <w:r>
              <w:rPr>
                <w:rFonts w:hint="eastAsia" w:ascii="仿宋_GB2312" w:hAnsi="仿宋" w:eastAsia="仿宋_GB2312"/>
                <w:b/>
                <w:bCs/>
                <w:color w:val="auto"/>
                <w:kern w:val="0"/>
                <w:sz w:val="24"/>
                <w:highlight w:val="none"/>
              </w:rPr>
              <w:t xml:space="preserve"> 没有</w:t>
            </w:r>
          </w:p>
        </w:tc>
      </w:tr>
      <w:tr w14:paraId="313B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959" w:type="dxa"/>
            <w:vAlign w:val="center"/>
          </w:tcPr>
          <w:p w14:paraId="48EBA3B6">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1.4</w:t>
            </w:r>
          </w:p>
        </w:tc>
        <w:tc>
          <w:tcPr>
            <w:tcW w:w="1762" w:type="dxa"/>
            <w:vAlign w:val="center"/>
          </w:tcPr>
          <w:p w14:paraId="1CF7EBA1">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是否允许联合体投标</w:t>
            </w:r>
          </w:p>
        </w:tc>
        <w:tc>
          <w:tcPr>
            <w:tcW w:w="6068" w:type="dxa"/>
            <w:vAlign w:val="center"/>
          </w:tcPr>
          <w:p w14:paraId="5CB98CFF">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是</w:t>
            </w:r>
          </w:p>
          <w:p w14:paraId="5A7392E2">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否</w:t>
            </w:r>
          </w:p>
        </w:tc>
      </w:tr>
      <w:tr w14:paraId="1515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rPr>
        <w:tc>
          <w:tcPr>
            <w:tcW w:w="959" w:type="dxa"/>
            <w:vAlign w:val="center"/>
          </w:tcPr>
          <w:p w14:paraId="3A56B976">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1.4.8</w:t>
            </w:r>
          </w:p>
        </w:tc>
        <w:tc>
          <w:tcPr>
            <w:tcW w:w="1762" w:type="dxa"/>
            <w:vAlign w:val="center"/>
          </w:tcPr>
          <w:p w14:paraId="57CAEB0B">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联合体投标的其他资格要求</w:t>
            </w:r>
          </w:p>
        </w:tc>
        <w:tc>
          <w:tcPr>
            <w:tcW w:w="6068" w:type="dxa"/>
            <w:vAlign w:val="center"/>
          </w:tcPr>
          <w:p w14:paraId="7D4F6FA4">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不适用。</w:t>
            </w:r>
          </w:p>
        </w:tc>
      </w:tr>
      <w:tr w14:paraId="20250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3" w:hRule="atLeast"/>
        </w:trPr>
        <w:tc>
          <w:tcPr>
            <w:tcW w:w="959" w:type="dxa"/>
            <w:vAlign w:val="center"/>
          </w:tcPr>
          <w:p w14:paraId="3998A06B">
            <w:pPr>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2.2</w:t>
            </w:r>
          </w:p>
        </w:tc>
        <w:tc>
          <w:tcPr>
            <w:tcW w:w="1762" w:type="dxa"/>
            <w:vAlign w:val="center"/>
          </w:tcPr>
          <w:p w14:paraId="062CE93A">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项目预算金额、最高限价</w:t>
            </w:r>
          </w:p>
        </w:tc>
        <w:tc>
          <w:tcPr>
            <w:tcW w:w="6068" w:type="dxa"/>
            <w:vAlign w:val="center"/>
          </w:tcPr>
          <w:p w14:paraId="260ABD21">
            <w:pPr>
              <w:snapToGrid w:val="0"/>
              <w:spacing w:line="360" w:lineRule="auto"/>
              <w:jc w:val="both"/>
              <w:rPr>
                <w:rFonts w:ascii="仿宋_GB2312" w:hAnsi="仿宋" w:eastAsia="仿宋_GB2312"/>
                <w:color w:val="auto"/>
                <w:sz w:val="24"/>
                <w:highlight w:val="none"/>
              </w:rPr>
            </w:pPr>
            <w:r>
              <w:rPr>
                <w:rFonts w:hint="eastAsia" w:ascii="仿宋_GB2312" w:hAnsi="仿宋" w:eastAsia="仿宋_GB2312"/>
                <w:color w:val="auto"/>
                <w:sz w:val="24"/>
                <w:highlight w:val="none"/>
              </w:rPr>
              <w:t>预算金额：</w:t>
            </w:r>
            <w:r>
              <w:rPr>
                <w:rFonts w:hint="eastAsia" w:ascii="仿宋_GB2312" w:hAnsi="仿宋" w:eastAsia="仿宋_GB2312"/>
                <w:color w:val="auto"/>
                <w:sz w:val="24"/>
                <w:highlight w:val="none"/>
                <w:lang w:val="en-US" w:eastAsia="zh-CN"/>
              </w:rPr>
              <w:t>635,800.00元</w:t>
            </w:r>
          </w:p>
          <w:p w14:paraId="2B91087D">
            <w:pPr>
              <w:snapToGrid w:val="0"/>
              <w:spacing w:line="360" w:lineRule="auto"/>
              <w:jc w:val="both"/>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最高限价：</w:t>
            </w:r>
            <w:r>
              <w:rPr>
                <w:rFonts w:hint="eastAsia" w:ascii="仿宋_GB2312" w:hAnsi="仿宋" w:eastAsia="仿宋_GB2312"/>
                <w:color w:val="auto"/>
                <w:sz w:val="24"/>
                <w:highlight w:val="none"/>
                <w:lang w:val="en-US" w:eastAsia="zh-CN"/>
              </w:rPr>
              <w:t>635,800.00元</w:t>
            </w:r>
          </w:p>
          <w:p w14:paraId="566523A6">
            <w:pPr>
              <w:snapToGrid w:val="0"/>
              <w:spacing w:line="360" w:lineRule="auto"/>
              <w:ind w:firstLine="480" w:firstLineChars="200"/>
              <w:jc w:val="both"/>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特别说明：</w:t>
            </w:r>
          </w:p>
          <w:p w14:paraId="29DD8931">
            <w:pPr>
              <w:keepNext w:val="0"/>
              <w:keepLines w:val="0"/>
              <w:widowControl/>
              <w:suppressLineNumbers w:val="0"/>
              <w:spacing w:before="0" w:beforeAutospacing="0" w:after="0" w:afterAutospacing="0" w:line="360" w:lineRule="auto"/>
              <w:ind w:left="0" w:right="0" w:firstLine="480" w:firstLineChars="200"/>
              <w:rPr>
                <w:rFonts w:hint="eastAsia" w:ascii="仿宋_GB2312" w:hAnsi="仿宋" w:eastAsia="仿宋_GB2312" w:cs="仿宋_GB2312"/>
                <w:b/>
                <w:bCs/>
                <w:color w:val="auto"/>
                <w:sz w:val="24"/>
                <w:highlight w:val="none"/>
                <w:lang w:eastAsia="zh-CN"/>
              </w:rPr>
            </w:pPr>
            <w:r>
              <w:rPr>
                <w:rFonts w:hint="eastAsia" w:ascii="仿宋_GB2312" w:hAnsi="仿宋" w:eastAsia="仿宋_GB2312"/>
                <w:b/>
                <w:bCs/>
                <w:color w:val="auto"/>
                <w:sz w:val="24"/>
                <w:highlight w:val="none"/>
                <w:lang w:val="en-US" w:eastAsia="zh-CN"/>
              </w:rPr>
              <w:t>1.</w:t>
            </w:r>
            <w:r>
              <w:rPr>
                <w:rFonts w:hint="eastAsia" w:ascii="仿宋_GB2312" w:hAnsi="仿宋" w:eastAsia="仿宋_GB2312" w:cs="仿宋_GB2312"/>
                <w:b/>
                <w:bCs/>
                <w:color w:val="auto"/>
                <w:sz w:val="24"/>
                <w:highlight w:val="none"/>
              </w:rPr>
              <w:t>投标人的投标</w:t>
            </w:r>
            <w:r>
              <w:rPr>
                <w:rFonts w:hint="eastAsia" w:ascii="仿宋_GB2312" w:hAnsi="仿宋" w:eastAsia="仿宋_GB2312" w:cs="仿宋_GB2312"/>
                <w:b/>
                <w:bCs/>
                <w:color w:val="auto"/>
                <w:sz w:val="24"/>
                <w:highlight w:val="none"/>
                <w:lang w:val="en-US" w:eastAsia="zh-CN"/>
              </w:rPr>
              <w:t>报</w:t>
            </w:r>
            <w:r>
              <w:rPr>
                <w:rFonts w:hint="eastAsia" w:ascii="仿宋_GB2312" w:hAnsi="仿宋" w:eastAsia="仿宋_GB2312" w:cs="仿宋_GB2312"/>
                <w:b/>
                <w:bCs/>
                <w:color w:val="auto"/>
                <w:sz w:val="24"/>
                <w:highlight w:val="none"/>
              </w:rPr>
              <w:t>价不得高于招标文件中给定的最高限价，否则其投标文件视为不响应招标文件实质性要求，按无效投标文件处理；</w:t>
            </w:r>
          </w:p>
          <w:p w14:paraId="3C676B18">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ascii="仿宋_GB2312" w:hAnsi="仿宋" w:eastAsia="仿宋_GB2312"/>
                <w:color w:val="auto"/>
                <w:kern w:val="0"/>
                <w:sz w:val="24"/>
                <w:highlight w:val="none"/>
              </w:rPr>
            </w:pPr>
            <w:r>
              <w:rPr>
                <w:rFonts w:hint="eastAsia" w:ascii="仿宋_GB2312" w:hAnsi="仿宋" w:eastAsia="仿宋_GB2312" w:cs="仿宋_GB2312"/>
                <w:b/>
                <w:bCs/>
                <w:color w:val="auto"/>
                <w:sz w:val="24"/>
                <w:highlight w:val="none"/>
              </w:rPr>
              <w:t>2.如某一投标人的投标报价明显低于本项目预算价格或其他投标人报价，有可能影响产品质量或者不能诚信履约的，投标人应按照评标委员会要求的内容和时间提供书面说明，并同时提交相应的佐证材料，投标人不能按照评标委员会要求的内容和时间提供书面说明或说明及佐证材料不足以证明其报价合理性的，其投标文件将视为不响应招标文件实质性要求，作无效投标文件处理。</w:t>
            </w:r>
          </w:p>
        </w:tc>
      </w:tr>
      <w:tr w14:paraId="1A43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59" w:type="dxa"/>
            <w:vAlign w:val="center"/>
          </w:tcPr>
          <w:p w14:paraId="3C5C4617">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w:t>
            </w:r>
          </w:p>
        </w:tc>
        <w:tc>
          <w:tcPr>
            <w:tcW w:w="1762" w:type="dxa"/>
            <w:vAlign w:val="center"/>
          </w:tcPr>
          <w:p w14:paraId="36BB799B">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计量单位</w:t>
            </w:r>
          </w:p>
        </w:tc>
        <w:tc>
          <w:tcPr>
            <w:tcW w:w="6068" w:type="dxa"/>
            <w:vAlign w:val="center"/>
          </w:tcPr>
          <w:p w14:paraId="2689AA31">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中华人民共和国法定计量单位</w:t>
            </w:r>
          </w:p>
          <w:p w14:paraId="40A5F6EF">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其他：             </w:t>
            </w:r>
          </w:p>
        </w:tc>
      </w:tr>
      <w:tr w14:paraId="7C3FE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3" w:hRule="atLeast"/>
        </w:trPr>
        <w:tc>
          <w:tcPr>
            <w:tcW w:w="959" w:type="dxa"/>
            <w:vAlign w:val="center"/>
          </w:tcPr>
          <w:p w14:paraId="17EAB0E4">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6.1</w:t>
            </w:r>
          </w:p>
        </w:tc>
        <w:tc>
          <w:tcPr>
            <w:tcW w:w="1762" w:type="dxa"/>
            <w:vAlign w:val="center"/>
          </w:tcPr>
          <w:p w14:paraId="28377C9C">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现场考察、开标前答疑会</w:t>
            </w:r>
          </w:p>
        </w:tc>
        <w:tc>
          <w:tcPr>
            <w:tcW w:w="6068" w:type="dxa"/>
            <w:vAlign w:val="center"/>
          </w:tcPr>
          <w:p w14:paraId="6408528D">
            <w:pPr>
              <w:widowControl/>
              <w:spacing w:line="360" w:lineRule="auto"/>
              <w:jc w:val="left"/>
              <w:rPr>
                <w:rFonts w:ascii="仿宋_GB2312" w:hAnsi="仿宋" w:eastAsia="仿宋_GB2312"/>
                <w:b/>
                <w:bCs/>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不组织</w:t>
            </w:r>
            <w:r>
              <w:rPr>
                <w:rFonts w:hint="eastAsia" w:ascii="仿宋_GB2312" w:hAnsi="仿宋" w:eastAsia="仿宋_GB2312"/>
                <w:b/>
                <w:bCs/>
                <w:color w:val="auto"/>
                <w:kern w:val="0"/>
                <w:sz w:val="24"/>
                <w:highlight w:val="none"/>
              </w:rPr>
              <w:t>（以下不适用）</w:t>
            </w:r>
          </w:p>
          <w:p w14:paraId="7F08979A">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组织，时  间：         </w:t>
            </w:r>
          </w:p>
          <w:p w14:paraId="41B9699F">
            <w:pPr>
              <w:widowControl/>
              <w:spacing w:line="360" w:lineRule="auto"/>
              <w:ind w:left="0" w:leftChars="0" w:firstLine="1058" w:firstLineChars="441"/>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地  点：         </w:t>
            </w:r>
          </w:p>
          <w:p w14:paraId="38670AFE">
            <w:pPr>
              <w:widowControl/>
              <w:spacing w:line="360" w:lineRule="auto"/>
              <w:ind w:left="0" w:leftChars="0" w:firstLine="1058" w:firstLineChars="441"/>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联系人：         </w:t>
            </w:r>
          </w:p>
          <w:p w14:paraId="1BE40E1B">
            <w:pPr>
              <w:widowControl/>
              <w:spacing w:line="360" w:lineRule="auto"/>
              <w:ind w:left="0" w:leftChars="0" w:firstLine="1058" w:firstLineChars="441"/>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 xml:space="preserve">电  话：         </w:t>
            </w:r>
          </w:p>
          <w:p w14:paraId="690F9584">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组织，招标文件提供期限截止后以书面形式通知。</w:t>
            </w:r>
          </w:p>
        </w:tc>
      </w:tr>
      <w:tr w14:paraId="31805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2652D0A7">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10.3</w:t>
            </w:r>
          </w:p>
        </w:tc>
        <w:tc>
          <w:tcPr>
            <w:tcW w:w="1762" w:type="dxa"/>
            <w:vAlign w:val="center"/>
          </w:tcPr>
          <w:p w14:paraId="61EEAF95">
            <w:pPr>
              <w:spacing w:line="360" w:lineRule="auto"/>
              <w:jc w:val="center"/>
              <w:rPr>
                <w:rFonts w:ascii="仿宋_GB2312" w:hAnsi="仿宋" w:eastAsia="仿宋_GB2312" w:cs="仿宋_GB2312"/>
                <w:b/>
                <w:bCs/>
                <w:color w:val="auto"/>
                <w:kern w:val="0"/>
                <w:sz w:val="24"/>
                <w:highlight w:val="none"/>
              </w:rPr>
            </w:pPr>
            <w:r>
              <w:rPr>
                <w:rFonts w:hint="eastAsia" w:ascii="仿宋_GB2312" w:hAnsi="仿宋" w:eastAsia="仿宋_GB2312" w:cs="仿宋_GB2312"/>
                <w:b/>
                <w:bCs/>
                <w:color w:val="auto"/>
                <w:kern w:val="0"/>
                <w:sz w:val="24"/>
                <w:highlight w:val="none"/>
              </w:rPr>
              <w:t>核心产品</w:t>
            </w:r>
          </w:p>
        </w:tc>
        <w:tc>
          <w:tcPr>
            <w:tcW w:w="6068" w:type="dxa"/>
            <w:vAlign w:val="center"/>
          </w:tcPr>
          <w:p w14:paraId="5ED1A641">
            <w:pPr>
              <w:widowControl/>
              <w:spacing w:line="360" w:lineRule="auto"/>
              <w:jc w:val="left"/>
              <w:rPr>
                <w:rFonts w:hint="default" w:ascii="仿宋_GB2312" w:hAnsi="仿宋" w:eastAsia="仿宋_GB2312"/>
                <w:b/>
                <w:bCs/>
                <w:color w:val="auto"/>
                <w:kern w:val="0"/>
                <w:sz w:val="24"/>
                <w:highlight w:val="none"/>
                <w:lang w:val="en-US" w:eastAsia="zh-CN"/>
              </w:rPr>
            </w:pPr>
            <w:r>
              <w:rPr>
                <w:rFonts w:hint="default" w:ascii="仿宋_GB2312" w:hAnsi="仿宋" w:eastAsia="仿宋_GB2312"/>
                <w:b/>
                <w:bCs/>
                <w:color w:val="auto"/>
                <w:kern w:val="0"/>
                <w:sz w:val="24"/>
                <w:highlight w:val="none"/>
                <w:lang w:val="en-US" w:eastAsia="zh-CN"/>
              </w:rPr>
              <w:t>学生语音终端</w:t>
            </w:r>
          </w:p>
        </w:tc>
      </w:tr>
      <w:tr w14:paraId="58166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959" w:type="dxa"/>
            <w:vAlign w:val="center"/>
          </w:tcPr>
          <w:p w14:paraId="62E073B3">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11.3</w:t>
            </w:r>
          </w:p>
        </w:tc>
        <w:tc>
          <w:tcPr>
            <w:tcW w:w="1762" w:type="dxa"/>
            <w:vAlign w:val="center"/>
          </w:tcPr>
          <w:p w14:paraId="2F79CC24">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样品或演示</w:t>
            </w:r>
          </w:p>
        </w:tc>
        <w:tc>
          <w:tcPr>
            <w:tcW w:w="6068" w:type="dxa"/>
            <w:vAlign w:val="center"/>
          </w:tcPr>
          <w:p w14:paraId="706328A1">
            <w:pPr>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sym w:font="Wingdings 2" w:char="0052"/>
            </w:r>
            <w:r>
              <w:rPr>
                <w:rFonts w:hint="eastAsia" w:ascii="仿宋_GB2312" w:hAnsi="仿宋" w:eastAsia="仿宋_GB2312" w:cs="仿宋_GB2312"/>
                <w:color w:val="auto"/>
                <w:kern w:val="0"/>
                <w:sz w:val="24"/>
                <w:highlight w:val="none"/>
              </w:rPr>
              <w:t xml:space="preserve"> 不需要</w:t>
            </w:r>
            <w:r>
              <w:rPr>
                <w:rFonts w:hint="eastAsia" w:ascii="仿宋_GB2312" w:hAnsi="仿宋" w:eastAsia="仿宋_GB2312" w:cs="仿宋_GB2312"/>
                <w:bCs/>
                <w:color w:val="auto"/>
                <w:kern w:val="0"/>
                <w:sz w:val="24"/>
                <w:highlight w:val="none"/>
              </w:rPr>
              <w:t>提供样品</w:t>
            </w:r>
          </w:p>
          <w:p w14:paraId="360F30F6">
            <w:pPr>
              <w:spacing w:line="360" w:lineRule="auto"/>
              <w:rPr>
                <w:rFonts w:hint="eastAsia" w:ascii="仿宋_GB2312" w:hAnsi="仿宋" w:eastAsia="仿宋_GB2312" w:cs="仿宋_GB2312"/>
                <w:bCs/>
                <w:color w:val="auto"/>
                <w:kern w:val="0"/>
                <w:sz w:val="24"/>
                <w:highlight w:val="none"/>
                <w:lang w:eastAsia="zh-CN"/>
              </w:rPr>
            </w:pPr>
            <w:r>
              <w:rPr>
                <w:rFonts w:hint="eastAsia" w:ascii="仿宋_GB2312" w:hAnsi="仿宋" w:eastAsia="仿宋_GB2312" w:cs="仿宋_GB2312"/>
                <w:color w:val="auto"/>
                <w:kern w:val="0"/>
                <w:sz w:val="24"/>
                <w:highlight w:val="none"/>
              </w:rPr>
              <w:sym w:font="Wingdings 2" w:char="00A3"/>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需要</w:t>
            </w:r>
            <w:r>
              <w:rPr>
                <w:rFonts w:hint="eastAsia" w:ascii="仿宋_GB2312" w:hAnsi="仿宋" w:eastAsia="仿宋_GB2312" w:cs="仿宋_GB2312"/>
                <w:bCs/>
                <w:color w:val="auto"/>
                <w:kern w:val="0"/>
                <w:sz w:val="24"/>
                <w:highlight w:val="none"/>
              </w:rPr>
              <w:t>提供样品</w:t>
            </w:r>
            <w:r>
              <w:rPr>
                <w:rFonts w:hint="eastAsia" w:ascii="仿宋_GB2312" w:hAnsi="仿宋" w:eastAsia="仿宋_GB2312" w:cs="仿宋_GB2312"/>
                <w:b/>
                <w:bCs w:val="0"/>
                <w:color w:val="auto"/>
                <w:kern w:val="0"/>
                <w:sz w:val="24"/>
                <w:highlight w:val="none"/>
                <w:lang w:eastAsia="zh-CN"/>
              </w:rPr>
              <w:t>（</w:t>
            </w:r>
            <w:r>
              <w:rPr>
                <w:rFonts w:hint="eastAsia" w:ascii="仿宋_GB2312" w:hAnsi="仿宋" w:eastAsia="仿宋_GB2312" w:cs="仿宋_GB2312"/>
                <w:b/>
                <w:bCs w:val="0"/>
                <w:color w:val="auto"/>
                <w:kern w:val="0"/>
                <w:sz w:val="24"/>
                <w:highlight w:val="none"/>
                <w:lang w:val="en-US" w:eastAsia="zh-CN"/>
              </w:rPr>
              <w:t>以下不适用</w:t>
            </w:r>
            <w:r>
              <w:rPr>
                <w:rFonts w:hint="eastAsia" w:ascii="仿宋_GB2312" w:hAnsi="仿宋" w:eastAsia="仿宋_GB2312" w:cs="仿宋_GB2312"/>
                <w:b/>
                <w:bCs w:val="0"/>
                <w:color w:val="auto"/>
                <w:kern w:val="0"/>
                <w:sz w:val="24"/>
                <w:highlight w:val="none"/>
                <w:lang w:eastAsia="zh-CN"/>
              </w:rPr>
              <w:t>）</w:t>
            </w:r>
          </w:p>
          <w:p w14:paraId="1E08F46D">
            <w:pPr>
              <w:adjustRightInd w:val="0"/>
              <w:spacing w:line="360" w:lineRule="auto"/>
              <w:ind w:firstLine="480" w:firstLineChars="200"/>
              <w:rPr>
                <w:rFonts w:ascii="仿宋_GB2312" w:hAnsi="仿宋" w:eastAsia="仿宋_GB2312" w:cs="仿宋_GB2312"/>
                <w:color w:val="auto"/>
                <w:kern w:val="0"/>
                <w:sz w:val="24"/>
                <w:highlight w:val="none"/>
                <w:u w:val="single"/>
              </w:rPr>
            </w:pPr>
            <w:r>
              <w:rPr>
                <w:rFonts w:hint="eastAsia" w:ascii="仿宋_GB2312" w:hAnsi="仿宋" w:eastAsia="仿宋_GB2312" w:cs="仿宋_GB2312"/>
                <w:color w:val="auto"/>
                <w:kern w:val="0"/>
                <w:sz w:val="24"/>
                <w:highlight w:val="none"/>
              </w:rPr>
              <w:t>1.递交样品的截止时间：</w:t>
            </w:r>
            <w:r>
              <w:rPr>
                <w:rFonts w:hint="eastAsia" w:ascii="仿宋_GB2312" w:hAnsi="仿宋" w:eastAsia="仿宋_GB2312" w:cs="仿宋_GB2312"/>
                <w:color w:val="auto"/>
                <w:kern w:val="0"/>
                <w:sz w:val="24"/>
                <w:highlight w:val="none"/>
                <w:u w:val="single"/>
              </w:rPr>
              <w:t xml:space="preserve">            </w:t>
            </w:r>
          </w:p>
          <w:p w14:paraId="58E54AFC">
            <w:pPr>
              <w:spacing w:line="360" w:lineRule="auto"/>
              <w:ind w:firstLine="480" w:firstLineChars="200"/>
              <w:rPr>
                <w:rFonts w:ascii="仿宋_GB2312" w:hAnsi="仿宋" w:eastAsia="仿宋_GB2312" w:cs="仿宋_GB2312"/>
                <w:color w:val="auto"/>
                <w:kern w:val="0"/>
                <w:sz w:val="24"/>
                <w:highlight w:val="none"/>
                <w:u w:val="single"/>
              </w:rPr>
            </w:pPr>
            <w:r>
              <w:rPr>
                <w:rFonts w:hint="eastAsia" w:ascii="仿宋_GB2312" w:hAnsi="仿宋" w:eastAsia="仿宋_GB2312" w:cs="仿宋_GB2312"/>
                <w:color w:val="auto"/>
                <w:kern w:val="0"/>
                <w:sz w:val="24"/>
                <w:highlight w:val="none"/>
              </w:rPr>
              <w:t>2.递交样品地点：</w:t>
            </w:r>
            <w:r>
              <w:rPr>
                <w:rFonts w:hint="eastAsia" w:ascii="仿宋_GB2312" w:hAnsi="仿宋" w:eastAsia="仿宋_GB2312" w:cs="仿宋_GB2312"/>
                <w:color w:val="auto"/>
                <w:kern w:val="0"/>
                <w:sz w:val="24"/>
                <w:highlight w:val="none"/>
                <w:u w:val="single"/>
              </w:rPr>
              <w:t xml:space="preserve">                  </w:t>
            </w:r>
          </w:p>
          <w:p w14:paraId="39D37624">
            <w:pPr>
              <w:spacing w:line="360" w:lineRule="auto"/>
              <w:ind w:firstLine="600" w:firstLineChars="250"/>
              <w:rPr>
                <w:rFonts w:ascii="仿宋_GB2312" w:hAnsi="仿宋" w:eastAsia="仿宋_GB2312" w:cs="仿宋_GB2312"/>
                <w:color w:val="auto"/>
                <w:kern w:val="0"/>
                <w:sz w:val="24"/>
                <w:highlight w:val="none"/>
                <w:u w:val="single"/>
              </w:rPr>
            </w:pPr>
            <w:r>
              <w:rPr>
                <w:rFonts w:hint="eastAsia" w:ascii="仿宋_GB2312" w:hAnsi="仿宋" w:eastAsia="仿宋_GB2312" w:cs="仿宋_GB2312"/>
                <w:color w:val="auto"/>
                <w:kern w:val="0"/>
                <w:sz w:val="24"/>
                <w:highlight w:val="none"/>
              </w:rPr>
              <w:t>递交样品联系人：</w:t>
            </w:r>
            <w:r>
              <w:rPr>
                <w:rFonts w:hint="eastAsia" w:ascii="仿宋_GB2312" w:hAnsi="仿宋" w:eastAsia="仿宋_GB2312"/>
                <w:color w:val="auto"/>
                <w:kern w:val="0"/>
                <w:sz w:val="24"/>
                <w:highlight w:val="none"/>
                <w:u w:val="single"/>
              </w:rPr>
              <w:t xml:space="preserve">                 </w:t>
            </w:r>
          </w:p>
          <w:p w14:paraId="64B1027A">
            <w:pPr>
              <w:spacing w:line="360" w:lineRule="auto"/>
              <w:ind w:firstLine="600" w:firstLineChars="250"/>
              <w:rPr>
                <w:rFonts w:ascii="仿宋_GB2312" w:hAnsi="仿宋" w:eastAsia="仿宋_GB2312" w:cs="仿宋_GB2312"/>
                <w:color w:val="auto"/>
                <w:kern w:val="0"/>
                <w:sz w:val="24"/>
                <w:highlight w:val="none"/>
                <w:u w:val="single"/>
              </w:rPr>
            </w:pPr>
            <w:r>
              <w:rPr>
                <w:rFonts w:hint="eastAsia" w:ascii="仿宋_GB2312" w:hAnsi="仿宋" w:eastAsia="仿宋_GB2312" w:cs="仿宋_GB2312"/>
                <w:color w:val="auto"/>
                <w:kern w:val="0"/>
                <w:sz w:val="24"/>
                <w:highlight w:val="none"/>
              </w:rPr>
              <w:t>递交样品联系电话：</w:t>
            </w:r>
            <w:r>
              <w:rPr>
                <w:rFonts w:hint="eastAsia" w:ascii="仿宋_GB2312" w:hAnsi="仿宋" w:eastAsia="仿宋_GB2312" w:cs="仿宋_GB2312"/>
                <w:color w:val="auto"/>
                <w:kern w:val="0"/>
                <w:sz w:val="24"/>
                <w:highlight w:val="none"/>
                <w:u w:val="single"/>
              </w:rPr>
              <w:t xml:space="preserve">               </w:t>
            </w:r>
          </w:p>
          <w:p w14:paraId="1DDD12B2">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3.样品制作的标准和要求：</w:t>
            </w:r>
            <w:r>
              <w:rPr>
                <w:rFonts w:hint="eastAsia" w:ascii="仿宋_GB2312" w:hAnsi="仿宋" w:eastAsia="仿宋_GB2312" w:cs="仿宋_GB2312"/>
                <w:color w:val="auto"/>
                <w:kern w:val="0"/>
                <w:sz w:val="24"/>
                <w:highlight w:val="none"/>
                <w:u w:val="single"/>
              </w:rPr>
              <w:t xml:space="preserve">          </w:t>
            </w:r>
          </w:p>
          <w:p w14:paraId="0D123065">
            <w:pPr>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4.样品的封存及退回：</w:t>
            </w:r>
            <w:r>
              <w:rPr>
                <w:rFonts w:hint="eastAsia" w:ascii="仿宋_GB2312" w:hAnsi="仿宋" w:eastAsia="仿宋_GB2312" w:cs="仿宋_GB2312"/>
                <w:color w:val="auto"/>
                <w:kern w:val="0"/>
                <w:sz w:val="24"/>
                <w:highlight w:val="none"/>
                <w:u w:val="single"/>
              </w:rPr>
              <w:t xml:space="preserve">              </w:t>
            </w:r>
          </w:p>
          <w:p w14:paraId="74086275">
            <w:pPr>
              <w:spacing w:line="360" w:lineRule="auto"/>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sym w:font="Wingdings 2" w:char="0052"/>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不</w:t>
            </w:r>
            <w:r>
              <w:rPr>
                <w:rFonts w:hint="eastAsia" w:ascii="仿宋_GB2312" w:hAnsi="仿宋" w:eastAsia="仿宋_GB2312" w:cs="仿宋_GB2312"/>
                <w:bCs/>
                <w:color w:val="auto"/>
                <w:kern w:val="0"/>
                <w:sz w:val="24"/>
                <w:highlight w:val="none"/>
              </w:rPr>
              <w:t>需要提供演示</w:t>
            </w:r>
          </w:p>
          <w:p w14:paraId="7FB1689F">
            <w:pPr>
              <w:spacing w:line="360" w:lineRule="auto"/>
              <w:rPr>
                <w:rFonts w:ascii="仿宋_GB2312" w:hAnsi="仿宋" w:eastAsia="仿宋_GB2312" w:cs="仿宋_GB2312"/>
                <w:bCs/>
                <w:color w:val="auto"/>
                <w:kern w:val="0"/>
                <w:sz w:val="24"/>
                <w:highlight w:val="none"/>
              </w:rPr>
            </w:pPr>
            <w:r>
              <w:rPr>
                <w:rFonts w:hint="eastAsia" w:ascii="仿宋_GB2312" w:hAnsi="仿宋" w:eastAsia="仿宋_GB2312" w:cs="仿宋_GB2312"/>
                <w:color w:val="auto"/>
                <w:kern w:val="0"/>
                <w:sz w:val="24"/>
                <w:highlight w:val="none"/>
              </w:rPr>
              <w:sym w:font="Wingdings 2" w:char="00A3"/>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需要</w:t>
            </w:r>
            <w:r>
              <w:rPr>
                <w:rFonts w:hint="eastAsia" w:ascii="仿宋_GB2312" w:hAnsi="仿宋" w:eastAsia="仿宋_GB2312" w:cs="仿宋_GB2312"/>
                <w:bCs/>
                <w:color w:val="auto"/>
                <w:kern w:val="0"/>
                <w:sz w:val="24"/>
                <w:highlight w:val="none"/>
              </w:rPr>
              <w:t>提供演示</w:t>
            </w:r>
            <w:r>
              <w:rPr>
                <w:rFonts w:hint="eastAsia" w:ascii="仿宋_GB2312" w:hAnsi="仿宋" w:eastAsia="仿宋_GB2312" w:cs="仿宋_GB2312"/>
                <w:b/>
                <w:bCs w:val="0"/>
                <w:color w:val="auto"/>
                <w:kern w:val="0"/>
                <w:sz w:val="24"/>
                <w:highlight w:val="none"/>
                <w:lang w:eastAsia="zh-CN"/>
              </w:rPr>
              <w:t>（</w:t>
            </w:r>
            <w:r>
              <w:rPr>
                <w:rFonts w:hint="eastAsia" w:ascii="仿宋_GB2312" w:hAnsi="仿宋" w:eastAsia="仿宋_GB2312" w:cs="仿宋_GB2312"/>
                <w:b/>
                <w:bCs w:val="0"/>
                <w:color w:val="auto"/>
                <w:kern w:val="0"/>
                <w:sz w:val="24"/>
                <w:highlight w:val="none"/>
                <w:lang w:val="en-US" w:eastAsia="zh-CN"/>
              </w:rPr>
              <w:t>以下不适用</w:t>
            </w:r>
            <w:r>
              <w:rPr>
                <w:rFonts w:hint="eastAsia" w:ascii="仿宋_GB2312" w:hAnsi="仿宋" w:eastAsia="仿宋_GB2312" w:cs="仿宋_GB2312"/>
                <w:b/>
                <w:bCs w:val="0"/>
                <w:color w:val="auto"/>
                <w:kern w:val="0"/>
                <w:sz w:val="24"/>
                <w:highlight w:val="none"/>
                <w:lang w:eastAsia="zh-CN"/>
              </w:rPr>
              <w:t>）</w:t>
            </w:r>
          </w:p>
          <w:p w14:paraId="02A916CB">
            <w:pPr>
              <w:keepNext w:val="0"/>
              <w:keepLines w:val="0"/>
              <w:suppressLineNumbers w:val="0"/>
              <w:adjustRightInd w:val="0"/>
              <w:snapToGrid w:val="0"/>
              <w:spacing w:before="0" w:beforeAutospacing="0" w:after="0" w:afterAutospacing="0" w:line="360" w:lineRule="auto"/>
              <w:ind w:left="0" w:right="0"/>
              <w:jc w:val="left"/>
              <w:rPr>
                <w:rFonts w:hint="default" w:ascii="仿宋_GB2312" w:hAnsi="仿宋" w:eastAsia="仿宋_GB2312"/>
                <w:color w:val="auto"/>
                <w:kern w:val="0"/>
                <w:sz w:val="24"/>
                <w:highlight w:val="none"/>
              </w:rPr>
            </w:pPr>
            <w:r>
              <w:rPr>
                <w:rFonts w:hint="eastAsia" w:ascii="仿宋_GB2312" w:hAnsi="仿宋" w:eastAsia="仿宋_GB2312" w:cs="仿宋_GB2312"/>
                <w:bCs/>
                <w:color w:val="auto"/>
                <w:kern w:val="0"/>
                <w:sz w:val="24"/>
                <w:highlight w:val="none"/>
              </w:rPr>
              <w:t xml:space="preserve"> </w:t>
            </w:r>
            <w:r>
              <w:rPr>
                <w:rFonts w:ascii="仿宋_GB2312" w:hAnsi="仿宋" w:eastAsia="仿宋_GB2312" w:cs="仿宋_GB2312"/>
                <w:bCs/>
                <w:color w:val="auto"/>
                <w:kern w:val="0"/>
                <w:sz w:val="24"/>
                <w:highlight w:val="none"/>
              </w:rPr>
              <w:t xml:space="preserve"> </w:t>
            </w:r>
            <w:r>
              <w:rPr>
                <w:rFonts w:hint="eastAsia" w:ascii="仿宋_GB2312" w:hAnsi="仿宋" w:eastAsia="仿宋_GB2312"/>
                <w:color w:val="auto"/>
                <w:kern w:val="0"/>
                <w:sz w:val="24"/>
                <w:highlight w:val="none"/>
              </w:rPr>
              <w:t>1.演示时间：</w:t>
            </w:r>
            <w:r>
              <w:rPr>
                <w:rFonts w:hint="eastAsia" w:ascii="仿宋_GB2312" w:hAnsi="仿宋" w:eastAsia="仿宋_GB2312"/>
                <w:color w:val="auto"/>
                <w:kern w:val="0"/>
                <w:sz w:val="24"/>
                <w:highlight w:val="none"/>
                <w:u w:val="single"/>
              </w:rPr>
              <w:t xml:space="preserve">                           </w:t>
            </w:r>
          </w:p>
          <w:p w14:paraId="55227BDE">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演示地点：</w:t>
            </w:r>
            <w:r>
              <w:rPr>
                <w:rFonts w:hint="eastAsia" w:ascii="仿宋_GB2312" w:hAnsi="仿宋" w:eastAsia="仿宋_GB2312"/>
                <w:color w:val="auto"/>
                <w:kern w:val="0"/>
                <w:sz w:val="24"/>
                <w:highlight w:val="none"/>
                <w:u w:val="single"/>
              </w:rPr>
              <w:t xml:space="preserve">                           </w:t>
            </w:r>
          </w:p>
          <w:p w14:paraId="6D849B2E">
            <w:pPr>
              <w:keepNext w:val="0"/>
              <w:keepLines w:val="0"/>
              <w:suppressLineNumbers w:val="0"/>
              <w:adjustRightInd w:val="0"/>
              <w:snapToGrid w:val="0"/>
              <w:spacing w:before="0" w:beforeAutospacing="0" w:after="0" w:afterAutospacing="0" w:line="360" w:lineRule="auto"/>
              <w:ind w:left="0" w:right="0" w:firstLine="480" w:firstLineChars="200"/>
              <w:jc w:val="left"/>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演示顺序：</w:t>
            </w:r>
            <w:r>
              <w:rPr>
                <w:rFonts w:hint="eastAsia" w:ascii="仿宋_GB2312" w:hAnsi="仿宋" w:eastAsia="仿宋_GB2312"/>
                <w:color w:val="auto"/>
                <w:kern w:val="0"/>
                <w:sz w:val="24"/>
                <w:highlight w:val="none"/>
                <w:u w:val="single"/>
              </w:rPr>
              <w:t xml:space="preserve">                           </w:t>
            </w:r>
          </w:p>
          <w:p w14:paraId="1A27ADB2">
            <w:pPr>
              <w:spacing w:line="360" w:lineRule="auto"/>
              <w:ind w:firstLine="240" w:firstLineChars="100"/>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2.演示要求：</w:t>
            </w:r>
            <w:r>
              <w:rPr>
                <w:rFonts w:hint="eastAsia" w:ascii="仿宋_GB2312" w:hAnsi="仿宋" w:eastAsia="仿宋_GB2312"/>
                <w:color w:val="auto"/>
                <w:kern w:val="0"/>
                <w:sz w:val="24"/>
                <w:highlight w:val="none"/>
                <w:u w:val="single"/>
              </w:rPr>
              <w:t xml:space="preserve">             </w:t>
            </w:r>
            <w:r>
              <w:rPr>
                <w:rFonts w:hint="eastAsia" w:ascii="仿宋_GB2312" w:hAnsi="仿宋" w:eastAsia="仿宋_GB2312"/>
                <w:color w:val="auto"/>
                <w:kern w:val="0"/>
                <w:sz w:val="24"/>
                <w:highlight w:val="none"/>
              </w:rPr>
              <w:t>（内容、设备等要求）</w:t>
            </w:r>
          </w:p>
        </w:tc>
      </w:tr>
      <w:tr w14:paraId="7A5AE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59" w:type="dxa"/>
            <w:vAlign w:val="center"/>
          </w:tcPr>
          <w:p w14:paraId="56F6FF13">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12.1</w:t>
            </w:r>
          </w:p>
        </w:tc>
        <w:tc>
          <w:tcPr>
            <w:tcW w:w="1762" w:type="dxa"/>
            <w:vAlign w:val="center"/>
          </w:tcPr>
          <w:p w14:paraId="74A92351">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投标报价货币要求</w:t>
            </w:r>
          </w:p>
        </w:tc>
        <w:tc>
          <w:tcPr>
            <w:tcW w:w="6068" w:type="dxa"/>
            <w:vAlign w:val="center"/>
          </w:tcPr>
          <w:p w14:paraId="01557C6C">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所有投标均按</w:t>
            </w:r>
            <w:r>
              <w:rPr>
                <w:rFonts w:hint="eastAsia" w:ascii="仿宋_GB2312" w:hAnsi="仿宋" w:eastAsia="仿宋_GB2312"/>
                <w:color w:val="auto"/>
                <w:kern w:val="0"/>
                <w:sz w:val="24"/>
                <w:highlight w:val="none"/>
                <w:u w:val="single"/>
              </w:rPr>
              <w:t xml:space="preserve"> 人民币 </w:t>
            </w:r>
            <w:r>
              <w:rPr>
                <w:rFonts w:hint="eastAsia" w:ascii="仿宋_GB2312" w:hAnsi="仿宋" w:eastAsia="仿宋_GB2312"/>
                <w:color w:val="auto"/>
                <w:kern w:val="0"/>
                <w:sz w:val="24"/>
                <w:highlight w:val="none"/>
              </w:rPr>
              <w:t>货币进行报价。</w:t>
            </w:r>
          </w:p>
          <w:p w14:paraId="4A0F57C0">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其它：               </w:t>
            </w:r>
          </w:p>
        </w:tc>
      </w:tr>
      <w:tr w14:paraId="0050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15542FBE">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13.1</w:t>
            </w:r>
          </w:p>
        </w:tc>
        <w:tc>
          <w:tcPr>
            <w:tcW w:w="1762" w:type="dxa"/>
            <w:vAlign w:val="center"/>
          </w:tcPr>
          <w:p w14:paraId="361C39D8">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投标保证金</w:t>
            </w:r>
          </w:p>
        </w:tc>
        <w:tc>
          <w:tcPr>
            <w:tcW w:w="6068" w:type="dxa"/>
            <w:vAlign w:val="center"/>
          </w:tcPr>
          <w:p w14:paraId="128EBCB0">
            <w:pPr>
              <w:spacing w:line="360" w:lineRule="auto"/>
              <w:ind w:left="2640" w:hanging="2640" w:hangingChars="1100"/>
              <w:rPr>
                <w:rFonts w:ascii="仿宋_GB2312" w:hAnsi="仿宋" w:eastAsia="仿宋_GB2312" w:cs="仿宋_GB2312"/>
                <w:color w:val="auto"/>
                <w:sz w:val="24"/>
                <w:highlight w:val="none"/>
                <w:u w:val="single"/>
              </w:rPr>
            </w:pPr>
            <w:r>
              <w:rPr>
                <w:rFonts w:hint="eastAsia" w:ascii="仿宋_GB2312" w:hAnsi="仿宋" w:eastAsia="仿宋_GB2312" w:cs="仿宋_GB2312"/>
                <w:color w:val="auto"/>
                <w:kern w:val="0"/>
                <w:sz w:val="24"/>
                <w:highlight w:val="none"/>
              </w:rPr>
              <w:t>1.</w:t>
            </w:r>
            <w:r>
              <w:rPr>
                <w:rFonts w:hint="eastAsia" w:ascii="仿宋_GB2312" w:hAnsi="仿宋" w:eastAsia="仿宋_GB2312" w:cs="仿宋_GB2312"/>
                <w:color w:val="auto"/>
                <w:sz w:val="24"/>
                <w:highlight w:val="none"/>
              </w:rPr>
              <w:t>投标保证金金额：</w:t>
            </w:r>
            <w:r>
              <w:rPr>
                <w:rFonts w:hint="eastAsia" w:ascii="仿宋_GB2312" w:hAnsi="仿宋" w:eastAsia="仿宋_GB2312" w:cs="仿宋_GB2312"/>
                <w:color w:val="auto"/>
                <w:sz w:val="24"/>
                <w:highlight w:val="none"/>
                <w:u w:val="single"/>
              </w:rPr>
              <w:t>人民币</w:t>
            </w:r>
            <w:r>
              <w:rPr>
                <w:rFonts w:hint="eastAsia" w:ascii="仿宋_GB2312" w:hAnsi="仿宋" w:eastAsia="仿宋_GB2312" w:cs="仿宋_GB2312"/>
                <w:color w:val="auto"/>
                <w:sz w:val="24"/>
                <w:highlight w:val="none"/>
                <w:u w:val="single"/>
                <w:lang w:val="en-US" w:eastAsia="zh-CN"/>
              </w:rPr>
              <w:t>陆仟</w:t>
            </w:r>
            <w:r>
              <w:rPr>
                <w:rFonts w:hint="eastAsia" w:ascii="仿宋_GB2312" w:hAnsi="仿宋" w:eastAsia="仿宋_GB2312" w:cs="仿宋_GB2312"/>
                <w:color w:val="auto"/>
                <w:sz w:val="24"/>
                <w:highlight w:val="none"/>
                <w:u w:val="single"/>
              </w:rPr>
              <w:t>元整（</w:t>
            </w:r>
            <w:r>
              <w:rPr>
                <w:rFonts w:hint="eastAsia" w:ascii="仿宋_GB2312" w:hAnsi="仿宋" w:eastAsia="仿宋_GB2312" w:cs="仿宋_GB2312"/>
                <w:b w:val="0"/>
                <w:bCs w:val="0"/>
                <w:color w:val="auto"/>
                <w:sz w:val="24"/>
                <w:highlight w:val="none"/>
                <w:u w:val="single"/>
              </w:rPr>
              <w:t>¥</w:t>
            </w:r>
            <w:r>
              <w:rPr>
                <w:rFonts w:hint="eastAsia" w:ascii="仿宋_GB2312" w:hAnsi="仿宋" w:eastAsia="仿宋_GB2312" w:cs="仿宋_GB2312"/>
                <w:color w:val="auto"/>
                <w:sz w:val="24"/>
                <w:highlight w:val="none"/>
                <w:u w:val="single"/>
                <w:lang w:val="en-US" w:eastAsia="zh-CN"/>
              </w:rPr>
              <w:t>6</w:t>
            </w:r>
            <w:r>
              <w:rPr>
                <w:rFonts w:hint="eastAsia" w:ascii="仿宋_GB2312" w:hAnsi="仿宋" w:eastAsia="仿宋_GB2312" w:cs="仿宋_GB2312"/>
                <w:color w:val="auto"/>
                <w:sz w:val="24"/>
                <w:highlight w:val="none"/>
                <w:u w:val="single"/>
              </w:rPr>
              <w:t>,000.00)</w:t>
            </w:r>
          </w:p>
          <w:p w14:paraId="5AA57E24">
            <w:pPr>
              <w:spacing w:line="360" w:lineRule="auto"/>
              <w:ind w:left="2640" w:hanging="2640" w:hangingChars="11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.投标保证金缴纳方式：</w:t>
            </w:r>
            <w:r>
              <w:rPr>
                <w:rFonts w:hint="eastAsia" w:ascii="仿宋_GB2312" w:hAnsi="仿宋" w:eastAsia="仿宋_GB2312" w:cs="仿宋_GB2312"/>
                <w:color w:val="auto"/>
                <w:kern w:val="0"/>
                <w:sz w:val="24"/>
                <w:highlight w:val="none"/>
              </w:rPr>
              <w:sym w:font="Wingdings 2" w:char="0052"/>
            </w:r>
            <w:r>
              <w:rPr>
                <w:rFonts w:hint="eastAsia" w:ascii="仿宋_GB2312" w:hAnsi="仿宋" w:eastAsia="仿宋_GB2312" w:cs="仿宋_GB2312"/>
                <w:color w:val="auto"/>
                <w:sz w:val="24"/>
                <w:highlight w:val="none"/>
              </w:rPr>
              <w:t xml:space="preserve">保函 </w:t>
            </w:r>
            <w:r>
              <w:rPr>
                <w:rFonts w:hint="eastAsia" w:ascii="仿宋_GB2312" w:hAnsi="仿宋" w:eastAsia="仿宋_GB2312" w:cs="仿宋_GB2312"/>
                <w:color w:val="auto"/>
                <w:kern w:val="0"/>
                <w:sz w:val="24"/>
                <w:highlight w:val="none"/>
              </w:rPr>
              <w:sym w:font="Wingdings 2" w:char="0052"/>
            </w:r>
            <w:r>
              <w:rPr>
                <w:rFonts w:hint="eastAsia" w:ascii="仿宋_GB2312" w:hAnsi="仿宋" w:eastAsia="仿宋_GB2312" w:cs="仿宋_GB2312"/>
                <w:color w:val="auto"/>
                <w:sz w:val="24"/>
                <w:highlight w:val="none"/>
              </w:rPr>
              <w:t xml:space="preserve">支票 </w:t>
            </w:r>
            <w:r>
              <w:rPr>
                <w:rFonts w:hint="eastAsia" w:ascii="仿宋_GB2312" w:hAnsi="仿宋" w:eastAsia="仿宋_GB2312" w:cs="仿宋_GB2312"/>
                <w:color w:val="auto"/>
                <w:kern w:val="0"/>
                <w:sz w:val="24"/>
                <w:highlight w:val="none"/>
              </w:rPr>
              <w:sym w:font="Wingdings 2" w:char="0052"/>
            </w:r>
            <w:r>
              <w:rPr>
                <w:rFonts w:hint="eastAsia" w:ascii="仿宋_GB2312" w:hAnsi="仿宋" w:eastAsia="仿宋_GB2312" w:cs="仿宋_GB2312"/>
                <w:color w:val="auto"/>
                <w:sz w:val="24"/>
                <w:highlight w:val="none"/>
              </w:rPr>
              <w:t xml:space="preserve">电汇   </w:t>
            </w:r>
          </w:p>
          <w:p w14:paraId="1B123642">
            <w:pPr>
              <w:spacing w:line="360" w:lineRule="auto"/>
              <w:ind w:left="2633" w:leftChars="1254"/>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rPr>
              <w:t>其他</w:t>
            </w:r>
          </w:p>
          <w:p w14:paraId="6FD5C425">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保证金收款人银行信息：</w:t>
            </w:r>
          </w:p>
          <w:p w14:paraId="5A6F9B96">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开 户 名：</w:t>
            </w:r>
            <w:r>
              <w:rPr>
                <w:rFonts w:hint="eastAsia" w:ascii="仿宋_GB2312" w:hAnsi="仿宋" w:eastAsia="仿宋_GB2312" w:cs="仿宋_GB2312"/>
                <w:color w:val="auto"/>
                <w:sz w:val="24"/>
                <w:highlight w:val="none"/>
                <w:u w:val="single"/>
              </w:rPr>
              <w:t>辽宁省沈抚公共资源交易服务有限公司</w:t>
            </w:r>
          </w:p>
          <w:p w14:paraId="216547B4">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开 户 行：</w:t>
            </w:r>
            <w:r>
              <w:rPr>
                <w:rFonts w:hint="eastAsia" w:ascii="仿宋_GB2312" w:hAnsi="仿宋" w:eastAsia="仿宋_GB2312" w:cs="仿宋_GB2312"/>
                <w:color w:val="auto"/>
                <w:sz w:val="24"/>
                <w:highlight w:val="none"/>
                <w:u w:val="single"/>
              </w:rPr>
              <w:t>兴业银行沈阳皇姑支行</w:t>
            </w:r>
          </w:p>
          <w:p w14:paraId="1CE1767D">
            <w:pPr>
              <w:spacing w:line="360" w:lineRule="auto"/>
              <w:ind w:firstLine="388" w:firstLineChars="162"/>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账    号：</w:t>
            </w:r>
            <w:r>
              <w:rPr>
                <w:rFonts w:ascii="仿宋_GB2312" w:hAnsi="仿宋" w:eastAsia="仿宋_GB2312" w:cs="仿宋_GB2312"/>
                <w:color w:val="auto"/>
                <w:sz w:val="24"/>
                <w:highlight w:val="none"/>
                <w:u w:val="single"/>
              </w:rPr>
              <w:t>422050100100241316</w:t>
            </w:r>
          </w:p>
          <w:p w14:paraId="37B11A21">
            <w:pPr>
              <w:spacing w:line="360" w:lineRule="auto"/>
              <w:rPr>
                <w:color w:val="auto"/>
                <w:highlight w:val="none"/>
              </w:rPr>
            </w:pPr>
            <w:r>
              <w:rPr>
                <w:rFonts w:hint="eastAsia" w:ascii="仿宋_GB2312" w:hAnsi="仿宋" w:eastAsia="仿宋_GB2312" w:cs="仿宋_GB2312"/>
                <w:b/>
                <w:color w:val="auto"/>
                <w:sz w:val="24"/>
                <w:highlight w:val="none"/>
                <w:u w:val="single"/>
              </w:rPr>
              <w:t>注：电汇时以公对公的形式缴纳</w:t>
            </w:r>
            <w:r>
              <w:rPr>
                <w:rFonts w:hint="eastAsia" w:ascii="仿宋_GB2312" w:hAnsi="仿宋" w:eastAsia="仿宋_GB2312" w:cs="仿宋_GB2312"/>
                <w:b/>
                <w:color w:val="auto"/>
                <w:sz w:val="24"/>
                <w:highlight w:val="none"/>
                <w:u w:val="single"/>
                <w:lang w:val="en-US" w:eastAsia="zh-CN"/>
              </w:rPr>
              <w:t>投标</w:t>
            </w:r>
            <w:r>
              <w:rPr>
                <w:rFonts w:hint="eastAsia" w:ascii="仿宋_GB2312" w:hAnsi="仿宋" w:eastAsia="仿宋_GB2312" w:cs="仿宋_GB2312"/>
                <w:b/>
                <w:color w:val="auto"/>
                <w:sz w:val="24"/>
                <w:highlight w:val="none"/>
                <w:u w:val="single"/>
              </w:rPr>
              <w:t>保证全并注明项目名称及编号(项</w:t>
            </w:r>
            <w:r>
              <w:rPr>
                <w:rFonts w:hint="eastAsia" w:ascii="仿宋_GB2312" w:hAnsi="仿宋" w:eastAsia="仿宋_GB2312" w:cs="仿宋_GB2312"/>
                <w:b/>
                <w:color w:val="auto"/>
                <w:sz w:val="24"/>
                <w:highlight w:val="none"/>
                <w:u w:val="single"/>
                <w:lang w:val="en-US" w:eastAsia="zh-CN"/>
              </w:rPr>
              <w:t>目</w:t>
            </w:r>
            <w:r>
              <w:rPr>
                <w:rFonts w:hint="eastAsia" w:ascii="仿宋_GB2312" w:hAnsi="仿宋" w:eastAsia="仿宋_GB2312" w:cs="仿宋_GB2312"/>
                <w:b/>
                <w:color w:val="auto"/>
                <w:sz w:val="24"/>
                <w:highlight w:val="none"/>
                <w:u w:val="single"/>
              </w:rPr>
              <w:t>名称可简写)。</w:t>
            </w:r>
          </w:p>
          <w:p w14:paraId="0AF82E11">
            <w:pPr>
              <w:pStyle w:val="9"/>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.投标保证金到账时间：</w:t>
            </w:r>
          </w:p>
          <w:p w14:paraId="5224938C">
            <w:pPr>
              <w:pStyle w:val="9"/>
              <w:spacing w:line="360" w:lineRule="auto"/>
              <w:ind w:firstLine="240" w:firstLineChars="100"/>
              <w:rPr>
                <w:rFonts w:ascii="仿宋_GB2312" w:hAnsi="仿宋" w:eastAsia="仿宋_GB2312" w:cs="仿宋_GB2312"/>
                <w:color w:val="auto"/>
                <w:sz w:val="24"/>
                <w:highlight w:val="none"/>
                <w:u w:val="single"/>
              </w:rPr>
            </w:pPr>
            <w:r>
              <w:rPr>
                <w:rFonts w:ascii="仿宋_GB2312" w:hAnsi="仿宋" w:eastAsia="仿宋_GB2312" w:cs="仿宋_GB2312"/>
                <w:color w:val="auto"/>
                <w:sz w:val="24"/>
                <w:highlight w:val="none"/>
              </w:rPr>
              <w:t>3.1</w:t>
            </w:r>
            <w:r>
              <w:rPr>
                <w:rFonts w:hint="eastAsia" w:ascii="仿宋_GB2312" w:hAnsi="仿宋" w:eastAsia="仿宋_GB2312" w:cs="仿宋_GB2312"/>
                <w:color w:val="auto"/>
                <w:sz w:val="24"/>
                <w:highlight w:val="none"/>
              </w:rPr>
              <w:t>电汇：</w:t>
            </w:r>
            <w:r>
              <w:rPr>
                <w:rFonts w:hint="eastAsia" w:ascii="仿宋_GB2312" w:hAnsi="仿宋" w:eastAsia="仿宋_GB2312" w:cs="仿宋_GB2312"/>
                <w:color w:val="auto"/>
                <w:sz w:val="24"/>
                <w:highlight w:val="none"/>
                <w:u w:val="single"/>
              </w:rPr>
              <w:t>递交投标文件截止时间前；</w:t>
            </w:r>
          </w:p>
          <w:p w14:paraId="75205A1C">
            <w:pPr>
              <w:pStyle w:val="9"/>
              <w:spacing w:line="360" w:lineRule="auto"/>
              <w:ind w:firstLine="240" w:firstLineChars="100"/>
              <w:rPr>
                <w:rFonts w:ascii="仿宋_GB2312" w:hAnsi="仿宋" w:eastAsia="仿宋_GB2312" w:cs="仿宋_GB2312"/>
                <w:color w:val="auto"/>
                <w:sz w:val="24"/>
                <w:highlight w:val="none"/>
                <w:u w:val="single"/>
              </w:rPr>
            </w:pPr>
            <w:r>
              <w:rPr>
                <w:rFonts w:ascii="仿宋_GB2312" w:hAnsi="仿宋" w:eastAsia="仿宋_GB2312" w:cs="仿宋_GB2312"/>
                <w:color w:val="auto"/>
                <w:sz w:val="24"/>
                <w:highlight w:val="none"/>
              </w:rPr>
              <w:t>3.2</w:t>
            </w:r>
            <w:r>
              <w:rPr>
                <w:rFonts w:hint="eastAsia" w:ascii="仿宋_GB2312" w:hAnsi="仿宋" w:eastAsia="仿宋_GB2312" w:cs="仿宋_GB2312"/>
                <w:color w:val="auto"/>
                <w:sz w:val="24"/>
                <w:highlight w:val="none"/>
              </w:rPr>
              <w:t>保函：</w:t>
            </w:r>
            <w:r>
              <w:rPr>
                <w:rFonts w:hint="eastAsia" w:ascii="仿宋_GB2312" w:hAnsi="仿宋" w:eastAsia="仿宋_GB2312" w:cs="仿宋_GB2312"/>
                <w:color w:val="auto"/>
                <w:sz w:val="24"/>
                <w:highlight w:val="none"/>
                <w:u w:val="single"/>
              </w:rPr>
              <w:t>递交投标文件截止时间前将保函和承诺书（后附）送至（邮寄）采购组织机构处，且保证其法律效力；</w:t>
            </w:r>
          </w:p>
          <w:p w14:paraId="61528536">
            <w:pPr>
              <w:pStyle w:val="9"/>
              <w:spacing w:line="360" w:lineRule="auto"/>
              <w:ind w:firstLine="240" w:firstLineChars="100"/>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u w:val="single"/>
              </w:rPr>
              <w:t>邮寄地址：辽宁省沈阳市皇姑区北陵大街34号3号楼1502室。</w:t>
            </w:r>
          </w:p>
          <w:p w14:paraId="4F64E958">
            <w:pPr>
              <w:pStyle w:val="9"/>
              <w:spacing w:line="360" w:lineRule="auto"/>
              <w:ind w:firstLine="240" w:firstLineChars="100"/>
              <w:rPr>
                <w:rFonts w:hint="eastAsia" w:ascii="仿宋_GB2312" w:hAnsi="仿宋" w:eastAsia="仿宋_GB2312" w:cs="仿宋_GB2312"/>
                <w:color w:val="auto"/>
                <w:sz w:val="24"/>
                <w:highlight w:val="none"/>
                <w:u w:val="single"/>
                <w:lang w:eastAsia="zh-CN"/>
              </w:rPr>
            </w:pPr>
            <w:r>
              <w:rPr>
                <w:rFonts w:hint="eastAsia" w:ascii="仿宋_GB2312" w:hAnsi="仿宋" w:eastAsia="仿宋_GB2312" w:cs="仿宋_GB2312"/>
                <w:color w:val="auto"/>
                <w:sz w:val="24"/>
                <w:highlight w:val="none"/>
              </w:rPr>
              <w:t>收件人：</w:t>
            </w:r>
            <w:r>
              <w:rPr>
                <w:rFonts w:hint="eastAsia" w:ascii="仿宋_GB2312" w:hAnsi="仿宋" w:eastAsia="仿宋_GB2312" w:cs="仿宋_GB2312"/>
                <w:color w:val="auto"/>
                <w:sz w:val="24"/>
                <w:highlight w:val="none"/>
                <w:u w:val="single"/>
                <w:lang w:val="en-US" w:eastAsia="zh-CN"/>
              </w:rPr>
              <w:t>郝永恒</w:t>
            </w:r>
          </w:p>
          <w:p w14:paraId="63DE334D">
            <w:pPr>
              <w:pStyle w:val="9"/>
              <w:spacing w:line="360" w:lineRule="auto"/>
              <w:ind w:firstLine="240" w:firstLineChars="100"/>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 xml:space="preserve">电 </w:t>
            </w:r>
            <w:r>
              <w:rPr>
                <w:rFonts w:hint="eastAsia" w:ascii="仿宋_GB2312" w:hAnsi="仿宋" w:eastAsia="仿宋_GB2312" w:cs="仿宋_GB2312"/>
                <w:color w:val="auto"/>
                <w:sz w:val="24"/>
                <w:highlight w:val="none"/>
                <w:lang w:val="en-US" w:eastAsia="zh-CN"/>
              </w:rPr>
              <w:t xml:space="preserve"> </w:t>
            </w:r>
            <w:r>
              <w:rPr>
                <w:rFonts w:hint="eastAsia" w:ascii="仿宋_GB2312" w:hAnsi="仿宋" w:eastAsia="仿宋_GB2312" w:cs="仿宋_GB2312"/>
                <w:color w:val="auto"/>
                <w:sz w:val="24"/>
                <w:highlight w:val="none"/>
              </w:rPr>
              <w:t>话：</w:t>
            </w:r>
            <w:r>
              <w:rPr>
                <w:rFonts w:hint="eastAsia" w:ascii="仿宋_GB2312" w:hAnsi="仿宋" w:eastAsia="仿宋_GB2312" w:cs="仿宋_GB2312"/>
                <w:color w:val="auto"/>
                <w:sz w:val="24"/>
                <w:highlight w:val="none"/>
                <w:u w:val="single"/>
              </w:rPr>
              <w:t>024-31513417</w:t>
            </w:r>
          </w:p>
          <w:p w14:paraId="0C840F84">
            <w:pPr>
              <w:pStyle w:val="9"/>
              <w:spacing w:line="360" w:lineRule="auto"/>
              <w:ind w:firstLine="240" w:firstLineChars="10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3.3</w:t>
            </w:r>
            <w:r>
              <w:rPr>
                <w:rFonts w:hint="eastAsia" w:ascii="仿宋_GB2312" w:hAnsi="仿宋" w:eastAsia="仿宋_GB2312" w:cs="仿宋_GB2312"/>
                <w:color w:val="auto"/>
                <w:sz w:val="24"/>
                <w:highlight w:val="none"/>
              </w:rPr>
              <w:t>支票：</w:t>
            </w:r>
            <w:r>
              <w:rPr>
                <w:rFonts w:hint="eastAsia" w:ascii="仿宋_GB2312" w:hAnsi="仿宋" w:eastAsia="仿宋_GB2312" w:cs="仿宋_GB2312"/>
                <w:color w:val="auto"/>
                <w:kern w:val="0"/>
                <w:sz w:val="24"/>
                <w:highlight w:val="none"/>
                <w:u w:val="single"/>
              </w:rPr>
              <w:t>递交</w:t>
            </w:r>
            <w:r>
              <w:rPr>
                <w:rFonts w:hint="eastAsia" w:ascii="仿宋_GB2312" w:hAnsi="仿宋" w:eastAsia="仿宋_GB2312" w:cs="仿宋_GB2312"/>
                <w:color w:val="auto"/>
                <w:sz w:val="24"/>
                <w:highlight w:val="none"/>
                <w:u w:val="single"/>
              </w:rPr>
              <w:t>响应</w:t>
            </w:r>
            <w:r>
              <w:rPr>
                <w:rFonts w:hint="eastAsia" w:ascii="仿宋_GB2312" w:hAnsi="仿宋" w:eastAsia="仿宋_GB2312" w:cs="仿宋_GB2312"/>
                <w:color w:val="auto"/>
                <w:kern w:val="0"/>
                <w:sz w:val="24"/>
                <w:highlight w:val="none"/>
                <w:u w:val="single"/>
              </w:rPr>
              <w:t>文件截止时间前三个工作日送至采购组织机构处。</w:t>
            </w:r>
          </w:p>
          <w:p w14:paraId="6228D44A">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4.保证金退还方式：</w:t>
            </w:r>
            <w:r>
              <w:rPr>
                <w:rFonts w:hint="eastAsia" w:ascii="仿宋_GB2312" w:hAnsi="仿宋" w:eastAsia="仿宋_GB2312" w:cs="仿宋_GB2312"/>
                <w:color w:val="auto"/>
                <w:kern w:val="0"/>
                <w:sz w:val="24"/>
                <w:highlight w:val="none"/>
                <w:u w:val="single"/>
              </w:rPr>
              <w:t>详见本款第6条。</w:t>
            </w:r>
          </w:p>
          <w:p w14:paraId="1E799543">
            <w:pPr>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5.保证金退还咨询电话：</w:t>
            </w:r>
            <w:r>
              <w:rPr>
                <w:rFonts w:hint="eastAsia" w:ascii="仿宋_GB2312" w:hAnsi="仿宋" w:eastAsia="仿宋_GB2312"/>
                <w:color w:val="auto"/>
                <w:sz w:val="24"/>
                <w:highlight w:val="none"/>
                <w:u w:val="single"/>
              </w:rPr>
              <w:t>024-31513417</w:t>
            </w:r>
          </w:p>
          <w:p w14:paraId="7A67CCBD">
            <w:pPr>
              <w:spacing w:line="360" w:lineRule="auto"/>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6.其它：</w:t>
            </w:r>
          </w:p>
          <w:p w14:paraId="6670AD2E">
            <w:pPr>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6.1本项目</w:t>
            </w:r>
            <w:r>
              <w:rPr>
                <w:rFonts w:hint="eastAsia" w:ascii="仿宋_GB2312" w:hAnsi="仿宋" w:eastAsia="仿宋_GB2312" w:cs="仿宋_GB2312"/>
                <w:color w:val="auto"/>
                <w:kern w:val="0"/>
                <w:sz w:val="24"/>
                <w:highlight w:val="none"/>
              </w:rPr>
              <w:t>投标保证金</w:t>
            </w:r>
            <w:r>
              <w:rPr>
                <w:rFonts w:hint="eastAsia" w:ascii="仿宋_GB2312" w:hAnsi="仿宋" w:eastAsia="仿宋_GB2312" w:cs="仿宋_GB2312"/>
                <w:color w:val="auto"/>
                <w:sz w:val="24"/>
                <w:highlight w:val="none"/>
              </w:rPr>
              <w:t>递交截止时间与递交投标文件截止时间（开标时间）一致，</w:t>
            </w:r>
            <w:r>
              <w:rPr>
                <w:rFonts w:hint="eastAsia" w:ascii="仿宋_GB2312" w:hAnsi="仿宋" w:eastAsia="仿宋_GB2312" w:cs="仿宋_GB2312"/>
                <w:color w:val="auto"/>
                <w:kern w:val="0"/>
                <w:sz w:val="24"/>
                <w:highlight w:val="none"/>
              </w:rPr>
              <w:t>投标保证金</w:t>
            </w:r>
            <w:r>
              <w:rPr>
                <w:rFonts w:hint="eastAsia" w:ascii="仿宋_GB2312" w:hAnsi="仿宋" w:eastAsia="仿宋_GB2312" w:cs="仿宋_GB2312"/>
                <w:color w:val="auto"/>
                <w:sz w:val="24"/>
                <w:highlight w:val="none"/>
              </w:rPr>
              <w:t>以到采购组织机构账户为准。</w:t>
            </w:r>
          </w:p>
          <w:p w14:paraId="13040843">
            <w:pPr>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6.2</w:t>
            </w:r>
            <w:r>
              <w:rPr>
                <w:rFonts w:hint="eastAsia" w:ascii="仿宋_GB2312" w:hAnsi="仿宋" w:eastAsia="仿宋_GB2312" w:cs="仿宋_GB2312"/>
                <w:color w:val="auto"/>
                <w:kern w:val="0"/>
                <w:sz w:val="24"/>
                <w:highlight w:val="none"/>
              </w:rPr>
              <w:t>投标保证金</w:t>
            </w:r>
            <w:r>
              <w:rPr>
                <w:rFonts w:hint="eastAsia" w:ascii="仿宋_GB2312" w:hAnsi="仿宋" w:eastAsia="仿宋_GB2312" w:cs="仿宋_GB2312"/>
                <w:color w:val="auto"/>
                <w:sz w:val="24"/>
                <w:highlight w:val="none"/>
              </w:rPr>
              <w:t>均以转账方式返还（非保函递交）。投标人提供的返还账户名须与投标人名称一致，否则不予办理，投标文件中应正确填写《保证金退还明细表》。</w:t>
            </w:r>
          </w:p>
          <w:p w14:paraId="39F80EA4">
            <w:pPr>
              <w:spacing w:line="360" w:lineRule="auto"/>
              <w:ind w:firstLine="240" w:firstLineChars="100"/>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6.3中标人</w:t>
            </w:r>
            <w:r>
              <w:rPr>
                <w:rFonts w:hint="eastAsia" w:ascii="仿宋_GB2312" w:hAnsi="仿宋" w:eastAsia="仿宋_GB2312" w:cs="仿宋_GB2312"/>
                <w:color w:val="auto"/>
                <w:kern w:val="0"/>
                <w:sz w:val="24"/>
                <w:highlight w:val="none"/>
              </w:rPr>
              <w:t>投标保证金</w:t>
            </w:r>
            <w:r>
              <w:rPr>
                <w:rFonts w:hint="eastAsia" w:ascii="仿宋_GB2312" w:hAnsi="仿宋" w:eastAsia="仿宋_GB2312" w:cs="仿宋_GB2312"/>
                <w:color w:val="auto"/>
                <w:sz w:val="24"/>
                <w:highlight w:val="none"/>
              </w:rPr>
              <w:t>在合同签订后5个工作日内返还；未中标投标人的</w:t>
            </w:r>
            <w:r>
              <w:rPr>
                <w:rFonts w:hint="eastAsia" w:ascii="仿宋_GB2312" w:hAnsi="仿宋" w:eastAsia="仿宋_GB2312" w:cs="仿宋_GB2312"/>
                <w:color w:val="auto"/>
                <w:kern w:val="0"/>
                <w:sz w:val="24"/>
                <w:highlight w:val="none"/>
              </w:rPr>
              <w:t>投标保证金</w:t>
            </w:r>
            <w:r>
              <w:rPr>
                <w:rFonts w:hint="eastAsia" w:ascii="仿宋_GB2312" w:hAnsi="仿宋" w:eastAsia="仿宋_GB2312" w:cs="仿宋_GB2312"/>
                <w:color w:val="auto"/>
                <w:sz w:val="24"/>
                <w:highlight w:val="none"/>
              </w:rPr>
              <w:t>在成交通知书核准后5个工作日内返还。</w:t>
            </w:r>
          </w:p>
          <w:p w14:paraId="4526690D">
            <w:pPr>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注：1</w:t>
            </w:r>
            <w:r>
              <w:rPr>
                <w:rFonts w:ascii="仿宋_GB2312" w:hAnsi="仿宋" w:eastAsia="仿宋_GB2312" w:cs="仿宋_GB2312"/>
                <w:b/>
                <w:bCs/>
                <w:color w:val="auto"/>
                <w:sz w:val="24"/>
                <w:highlight w:val="none"/>
              </w:rPr>
              <w:t>.</w:t>
            </w:r>
            <w:r>
              <w:rPr>
                <w:rFonts w:hint="eastAsia" w:ascii="仿宋_GB2312" w:hAnsi="仿宋" w:eastAsia="仿宋_GB2312" w:cs="仿宋_GB2312"/>
                <w:b/>
                <w:bCs/>
                <w:color w:val="auto"/>
                <w:sz w:val="24"/>
                <w:highlight w:val="none"/>
              </w:rPr>
              <w:t>财政部门鼓励采用保函的方式递交投标保证金，具体办理流程参阅辽宁政府采购网；</w:t>
            </w:r>
          </w:p>
          <w:p w14:paraId="0B2E8233">
            <w:pPr>
              <w:spacing w:line="360" w:lineRule="auto"/>
              <w:ind w:firstLine="720" w:firstLineChars="3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2.投标保证金以实际到账或实际缴纳为准，投标人可在投标文件中“递交投标保证金证明”处后附下述材料：</w:t>
            </w:r>
          </w:p>
          <w:p w14:paraId="4DC5A53C">
            <w:pPr>
              <w:spacing w:line="360" w:lineRule="auto"/>
              <w:ind w:firstLine="720" w:firstLineChars="3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电汇：后附电汇汇款凭证；</w:t>
            </w:r>
          </w:p>
          <w:p w14:paraId="7AC92D41">
            <w:pPr>
              <w:spacing w:line="360" w:lineRule="auto"/>
              <w:ind w:firstLine="720" w:firstLineChars="3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保函（纸质）：后附保函签收证明及承诺书（见格式2</w:t>
            </w:r>
            <w:r>
              <w:rPr>
                <w:rFonts w:hint="eastAsia" w:ascii="仿宋_GB2312" w:hAnsi="仿宋" w:eastAsia="仿宋_GB2312" w:cs="仿宋_GB2312"/>
                <w:b/>
                <w:bCs/>
                <w:color w:val="auto"/>
                <w:sz w:val="24"/>
                <w:highlight w:val="none"/>
                <w:lang w:val="en-US" w:eastAsia="zh-CN"/>
              </w:rPr>
              <w:t>0</w:t>
            </w:r>
            <w:r>
              <w:rPr>
                <w:rFonts w:hint="eastAsia" w:ascii="仿宋_GB2312" w:hAnsi="仿宋" w:eastAsia="仿宋_GB2312" w:cs="仿宋_GB2312"/>
                <w:b/>
                <w:bCs/>
                <w:color w:val="auto"/>
                <w:sz w:val="24"/>
                <w:highlight w:val="none"/>
              </w:rPr>
              <w:t>）原件；</w:t>
            </w:r>
          </w:p>
          <w:p w14:paraId="38575BA9">
            <w:pPr>
              <w:spacing w:line="360" w:lineRule="auto"/>
              <w:ind w:firstLine="720" w:firstLineChars="3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保函（电子）：后附保函复印件及承诺书（见格式2</w:t>
            </w:r>
            <w:r>
              <w:rPr>
                <w:rFonts w:hint="eastAsia" w:ascii="仿宋_GB2312" w:hAnsi="仿宋" w:eastAsia="仿宋_GB2312" w:cs="仿宋_GB2312"/>
                <w:b/>
                <w:bCs/>
                <w:color w:val="auto"/>
                <w:sz w:val="24"/>
                <w:highlight w:val="none"/>
                <w:lang w:val="en-US" w:eastAsia="zh-CN"/>
              </w:rPr>
              <w:t>0</w:t>
            </w:r>
            <w:r>
              <w:rPr>
                <w:rFonts w:hint="eastAsia" w:ascii="仿宋_GB2312" w:hAnsi="仿宋" w:eastAsia="仿宋_GB2312" w:cs="仿宋_GB2312"/>
                <w:b/>
                <w:bCs/>
                <w:color w:val="auto"/>
                <w:sz w:val="24"/>
                <w:highlight w:val="none"/>
              </w:rPr>
              <w:t>）原件；</w:t>
            </w:r>
          </w:p>
          <w:p w14:paraId="1ABA78BC">
            <w:pPr>
              <w:spacing w:line="360" w:lineRule="auto"/>
              <w:ind w:firstLine="720" w:firstLineChars="3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支票：后附支票签收证明或缴纳收款收据。</w:t>
            </w:r>
          </w:p>
          <w:p w14:paraId="7CFB1B13">
            <w:pPr>
              <w:spacing w:line="360" w:lineRule="auto"/>
              <w:ind w:firstLine="720" w:firstLineChars="300"/>
              <w:rPr>
                <w:rFonts w:ascii="仿宋_GB2312" w:hAnsi="仿宋" w:eastAsia="仿宋_GB2312" w:cs="仿宋_GB2312"/>
                <w:color w:val="auto"/>
                <w:sz w:val="24"/>
                <w:highlight w:val="none"/>
              </w:rPr>
            </w:pPr>
            <w:r>
              <w:rPr>
                <w:rFonts w:hint="eastAsia" w:ascii="仿宋_GB2312" w:hAnsi="仿宋" w:eastAsia="仿宋_GB2312" w:cs="仿宋_GB2312"/>
                <w:b/>
                <w:bCs/>
                <w:color w:val="auto"/>
                <w:sz w:val="24"/>
                <w:highlight w:val="none"/>
              </w:rPr>
              <w:t>上述材料仅作为辅证，不作为否决投标的依据，以实际缴纳为准。</w:t>
            </w:r>
          </w:p>
        </w:tc>
      </w:tr>
      <w:tr w14:paraId="16A5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959" w:type="dxa"/>
            <w:vAlign w:val="center"/>
          </w:tcPr>
          <w:p w14:paraId="7B333B46">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15.1</w:t>
            </w:r>
          </w:p>
        </w:tc>
        <w:tc>
          <w:tcPr>
            <w:tcW w:w="1762" w:type="dxa"/>
            <w:vAlign w:val="center"/>
          </w:tcPr>
          <w:p w14:paraId="6CD7241D">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投标有效期</w:t>
            </w:r>
          </w:p>
        </w:tc>
        <w:tc>
          <w:tcPr>
            <w:tcW w:w="6068" w:type="dxa"/>
            <w:vAlign w:val="center"/>
          </w:tcPr>
          <w:p w14:paraId="4DF76B2B">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u w:val="single"/>
              </w:rPr>
              <w:t xml:space="preserve">  90  </w:t>
            </w:r>
            <w:r>
              <w:rPr>
                <w:rFonts w:hint="eastAsia" w:ascii="仿宋_GB2312" w:hAnsi="仿宋" w:eastAsia="仿宋_GB2312"/>
                <w:color w:val="auto"/>
                <w:kern w:val="0"/>
                <w:sz w:val="24"/>
                <w:highlight w:val="none"/>
              </w:rPr>
              <w:t>日历日</w:t>
            </w:r>
          </w:p>
        </w:tc>
      </w:tr>
      <w:tr w14:paraId="53EB7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959" w:type="dxa"/>
            <w:vAlign w:val="center"/>
          </w:tcPr>
          <w:p w14:paraId="587DCCBD">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16.1</w:t>
            </w:r>
          </w:p>
        </w:tc>
        <w:tc>
          <w:tcPr>
            <w:tcW w:w="1762" w:type="dxa"/>
            <w:vAlign w:val="center"/>
          </w:tcPr>
          <w:p w14:paraId="13032B15">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投标文件及电子文档份数</w:t>
            </w:r>
          </w:p>
        </w:tc>
        <w:tc>
          <w:tcPr>
            <w:tcW w:w="6068" w:type="dxa"/>
            <w:vAlign w:val="center"/>
          </w:tcPr>
          <w:p w14:paraId="51E1E672">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1.电子评审系统上传的投标文件：电子投标文件按辽宁政府采购网相关规定制作上传；</w:t>
            </w:r>
          </w:p>
          <w:p w14:paraId="17EFDA2D">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2.加密备份电子文档</w:t>
            </w:r>
            <w:r>
              <w:rPr>
                <w:rFonts w:hint="eastAsia" w:ascii="仿宋_GB2312" w:hAnsi="仿宋" w:eastAsia="仿宋_GB2312" w:cs="仿宋_GB2312"/>
                <w:color w:val="auto"/>
                <w:sz w:val="24"/>
                <w:highlight w:val="none"/>
                <w:u w:val="single"/>
              </w:rPr>
              <w:t xml:space="preserve"> 1 </w:t>
            </w:r>
            <w:r>
              <w:rPr>
                <w:rFonts w:hint="eastAsia" w:ascii="仿宋_GB2312" w:hAnsi="仿宋" w:eastAsia="仿宋_GB2312" w:cs="仿宋_GB2312"/>
                <w:color w:val="auto"/>
                <w:sz w:val="24"/>
                <w:highlight w:val="none"/>
              </w:rPr>
              <w:t>份，电子文档加密且密封现场递交；</w:t>
            </w:r>
          </w:p>
          <w:p w14:paraId="7B83963F">
            <w:pPr>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3.开标现场无需递交纸质文件。</w:t>
            </w:r>
          </w:p>
          <w:p w14:paraId="6716808F">
            <w:pPr>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注：（1）对投标文件签章要求：要求电子评审系统上传的投标文件及加密备份文件均需按照招标文件规定的格式内容使用电子签章或盖章，并按招标文件规定的投标文件格式进行签章;</w:t>
            </w:r>
          </w:p>
          <w:p w14:paraId="1D5DAE90">
            <w:pPr>
              <w:spacing w:line="360" w:lineRule="auto"/>
              <w:ind w:firstLine="480" w:firstLineChars="200"/>
              <w:rPr>
                <w:rFonts w:ascii="仿宋_GB2312" w:hAnsi="仿宋" w:eastAsia="仿宋_GB2312"/>
                <w:color w:val="auto"/>
                <w:kern w:val="0"/>
                <w:sz w:val="24"/>
                <w:highlight w:val="none"/>
                <w:u w:val="single"/>
              </w:rPr>
            </w:pPr>
            <w:r>
              <w:rPr>
                <w:rFonts w:hint="eastAsia" w:ascii="仿宋_GB2312" w:hAnsi="仿宋" w:eastAsia="仿宋_GB2312" w:cs="仿宋_GB2312"/>
                <w:b/>
                <w:bCs/>
                <w:color w:val="auto"/>
                <w:sz w:val="24"/>
                <w:highlight w:val="none"/>
              </w:rPr>
              <w:t>（2）中标人在中标后需要递交一正二副的纸质版投标文件（按招标文件要求对投标文件投标人须知中“签署及规定”的要求胶装制作，无需密封标记）至采购组织机构处，投标文件内容应与电子版投标文件内容一致，否则由此造成的一切后果由中标人自行承担。</w:t>
            </w:r>
          </w:p>
        </w:tc>
      </w:tr>
      <w:tr w14:paraId="3478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59" w:type="dxa"/>
            <w:vAlign w:val="center"/>
          </w:tcPr>
          <w:p w14:paraId="73C6B6E6">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18.1</w:t>
            </w:r>
          </w:p>
        </w:tc>
        <w:tc>
          <w:tcPr>
            <w:tcW w:w="1762" w:type="dxa"/>
            <w:vAlign w:val="center"/>
          </w:tcPr>
          <w:p w14:paraId="0F1CF87E">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递交投标文件截止时间、地点</w:t>
            </w:r>
          </w:p>
        </w:tc>
        <w:tc>
          <w:tcPr>
            <w:tcW w:w="6068" w:type="dxa"/>
            <w:vAlign w:val="center"/>
          </w:tcPr>
          <w:p w14:paraId="7BBFDEB2">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截止时间</w:t>
            </w:r>
            <w:r>
              <w:rPr>
                <w:rFonts w:hint="eastAsia" w:ascii="仿宋_GB2312" w:hAnsi="仿宋" w:eastAsia="仿宋_GB2312"/>
                <w:color w:val="auto"/>
                <w:kern w:val="0"/>
                <w:sz w:val="24"/>
                <w:highlight w:val="none"/>
                <w:lang w:eastAsia="zh-CN"/>
              </w:rPr>
              <w:t>：2025年02月07日</w:t>
            </w:r>
            <w:r>
              <w:rPr>
                <w:rFonts w:hint="eastAsia" w:ascii="仿宋_GB2312" w:hAnsi="仿宋" w:eastAsia="仿宋_GB2312"/>
                <w:color w:val="auto"/>
                <w:kern w:val="0"/>
                <w:sz w:val="24"/>
                <w:highlight w:val="none"/>
              </w:rPr>
              <w:t>13时30分</w:t>
            </w:r>
            <w:r>
              <w:rPr>
                <w:rFonts w:hint="eastAsia" w:ascii="仿宋_GB2312" w:hAnsi="仿宋" w:eastAsia="仿宋_GB2312" w:cs="宋体"/>
                <w:color w:val="auto"/>
                <w:sz w:val="24"/>
                <w:highlight w:val="none"/>
                <w:lang w:eastAsia="zh-CN"/>
              </w:rPr>
              <w:t>（</w:t>
            </w:r>
            <w:r>
              <w:rPr>
                <w:rFonts w:hint="eastAsia" w:ascii="仿宋_GB2312" w:hAnsi="仿宋" w:eastAsia="仿宋_GB2312"/>
                <w:color w:val="auto"/>
                <w:kern w:val="0"/>
                <w:sz w:val="24"/>
                <w:highlight w:val="none"/>
              </w:rPr>
              <w:t>北京时间）</w:t>
            </w:r>
          </w:p>
          <w:p w14:paraId="546CCF0A">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地点：辽宁政府采购网</w:t>
            </w:r>
          </w:p>
          <w:p w14:paraId="329CB25C">
            <w:pPr>
              <w:spacing w:line="360" w:lineRule="auto"/>
              <w:jc w:val="left"/>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方式：电子投标文件上传至辽宁政府采购网，以U盘形式存储的加密备份文件现场递交至辽宁省沈抚公共资源交易服务有限公司（辽宁省沈阳市皇姑区北陵大街34号3号楼1510室）。</w:t>
            </w:r>
          </w:p>
          <w:p w14:paraId="2F017F4F">
            <w:pPr>
              <w:spacing w:line="360" w:lineRule="auto"/>
              <w:ind w:firstLine="540"/>
              <w:jc w:val="left"/>
              <w:rPr>
                <w:rFonts w:hint="eastAsia" w:ascii="仿宋_GB2312" w:hAnsi="仿宋" w:eastAsia="仿宋_GB2312"/>
                <w:color w:val="auto"/>
                <w:kern w:val="0"/>
                <w:sz w:val="24"/>
                <w:highlight w:val="none"/>
              </w:rPr>
            </w:pPr>
            <w:r>
              <w:rPr>
                <w:rFonts w:hint="eastAsia" w:ascii="仿宋_GB2312" w:hAnsi="仿宋" w:eastAsia="仿宋_GB2312"/>
                <w:b/>
                <w:bCs/>
                <w:color w:val="auto"/>
                <w:kern w:val="0"/>
                <w:sz w:val="24"/>
                <w:highlight w:val="none"/>
              </w:rPr>
              <w:t>特别说明：</w:t>
            </w:r>
          </w:p>
          <w:p w14:paraId="75BAD74B">
            <w:pPr>
              <w:spacing w:line="360" w:lineRule="auto"/>
              <w:ind w:firstLine="540"/>
              <w:jc w:val="left"/>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1.供应商在递交投标（响应）文件截止时间前，是否递交加密的备份投标（响应）文件（以下简称“备份文件”）属于供应商个人意愿。如供应商未递交备份文件或备份文件包封不符合要求或备份文件未在投标截止时间及开标时间前送达的，采购代理机构在开标现场的《投标文件递交情况一览表》上如实记录，但不作为否决投标（响应）的依据；若因此而影响评标（评审）的，由供应商自行承担相应责任。</w:t>
            </w:r>
          </w:p>
          <w:p w14:paraId="43774881">
            <w:pPr>
              <w:spacing w:line="360" w:lineRule="auto"/>
              <w:ind w:firstLine="540"/>
              <w:jc w:val="left"/>
              <w:rPr>
                <w:rFonts w:hint="eastAsia" w:ascii="仿宋_GB2312" w:hAnsi="仿宋" w:eastAsia="仿宋_GB2312"/>
                <w:color w:val="auto"/>
                <w:kern w:val="0"/>
                <w:sz w:val="24"/>
                <w:highlight w:val="none"/>
              </w:rPr>
            </w:pPr>
            <w:r>
              <w:rPr>
                <w:rFonts w:hint="eastAsia" w:ascii="仿宋_GB2312" w:hAnsi="仿宋" w:eastAsia="仿宋_GB2312"/>
                <w:color w:val="auto"/>
                <w:kern w:val="0"/>
                <w:sz w:val="24"/>
                <w:highlight w:val="none"/>
              </w:rPr>
              <w:t>2.在政府采购系统遇突发故障且短时间无法恢复时，在采购人、采购代理机构和相关供应商（供应商未到场的，通过视频方式进行确认）共同签字确认的情况下，现场启动备份文件进行评标（评审）。</w:t>
            </w:r>
          </w:p>
          <w:p w14:paraId="0ACFAD35">
            <w:pPr>
              <w:spacing w:line="360" w:lineRule="auto"/>
              <w:ind w:firstLine="540"/>
              <w:jc w:val="left"/>
              <w:rPr>
                <w:rFonts w:hint="eastAsia" w:ascii="仿宋_GB2312" w:hAnsi="仿宋" w:eastAsia="仿宋_GB2312"/>
                <w:color w:val="auto"/>
                <w:kern w:val="0"/>
                <w:sz w:val="24"/>
                <w:highlight w:val="none"/>
                <w:lang w:eastAsia="zh-CN"/>
              </w:rPr>
            </w:pPr>
            <w:r>
              <w:rPr>
                <w:rFonts w:hint="eastAsia" w:ascii="仿宋_GB2312" w:hAnsi="仿宋" w:eastAsia="仿宋_GB2312"/>
                <w:color w:val="auto"/>
                <w:kern w:val="0"/>
                <w:sz w:val="24"/>
                <w:highlight w:val="none"/>
              </w:rPr>
              <w:t>3.供应商在政采系统上传的投标（响应）文件正常解密且采购活动正常进行的以政府采购系统上传的投标（响应）文件为准，备份文件自动失效，密封完好归档留存</w:t>
            </w:r>
            <w:r>
              <w:rPr>
                <w:rFonts w:hint="eastAsia" w:ascii="仿宋_GB2312" w:hAnsi="仿宋" w:eastAsia="仿宋_GB2312"/>
                <w:color w:val="auto"/>
                <w:kern w:val="0"/>
                <w:sz w:val="24"/>
                <w:highlight w:val="none"/>
                <w:lang w:eastAsia="zh-CN"/>
              </w:rPr>
              <w:t>。</w:t>
            </w:r>
          </w:p>
          <w:p w14:paraId="6B481342">
            <w:pPr>
              <w:spacing w:line="360" w:lineRule="auto"/>
              <w:ind w:firstLine="540"/>
              <w:jc w:val="left"/>
              <w:rPr>
                <w:rFonts w:hint="eastAsia" w:eastAsia="仿宋_GB2312"/>
                <w:color w:val="auto"/>
                <w:highlight w:val="none"/>
                <w:lang w:eastAsia="zh-CN"/>
              </w:rPr>
            </w:pPr>
            <w:r>
              <w:rPr>
                <w:rFonts w:hint="eastAsia" w:ascii="仿宋_GB2312" w:hAnsi="仿宋" w:eastAsia="仿宋_GB2312" w:cs="宋体"/>
                <w:color w:val="auto"/>
                <w:sz w:val="24"/>
                <w:highlight w:val="none"/>
                <w:lang w:val="en-US" w:eastAsia="zh-CN"/>
              </w:rPr>
              <w:t>4.供应商在政采系统上传投标(响应)文件后，建议使用上传投标(响应)文件的 CA 数字证书进行模拟解密,如果出现任何问题，应及时联系相关技术支持人员进行解决。以保证投标(响应)文件能够在正式开标时顺利解密。</w:t>
            </w:r>
          </w:p>
        </w:tc>
      </w:tr>
      <w:tr w14:paraId="02A45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59" w:type="dxa"/>
            <w:vAlign w:val="center"/>
          </w:tcPr>
          <w:p w14:paraId="7094B3C5">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20.1</w:t>
            </w:r>
          </w:p>
        </w:tc>
        <w:tc>
          <w:tcPr>
            <w:tcW w:w="1762" w:type="dxa"/>
            <w:vAlign w:val="center"/>
          </w:tcPr>
          <w:p w14:paraId="260C3DD5">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开标时间、地点</w:t>
            </w:r>
          </w:p>
        </w:tc>
        <w:tc>
          <w:tcPr>
            <w:tcW w:w="6068" w:type="dxa"/>
            <w:vAlign w:val="center"/>
          </w:tcPr>
          <w:p w14:paraId="1394A8EB">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时间：</w:t>
            </w:r>
            <w:r>
              <w:rPr>
                <w:rFonts w:hint="eastAsia" w:ascii="仿宋_GB2312" w:hAnsi="仿宋" w:eastAsia="仿宋_GB2312"/>
                <w:color w:val="auto"/>
                <w:kern w:val="0"/>
                <w:sz w:val="24"/>
                <w:highlight w:val="none"/>
                <w:lang w:eastAsia="zh-CN"/>
              </w:rPr>
              <w:t>2025年02月07日</w:t>
            </w:r>
            <w:r>
              <w:rPr>
                <w:rFonts w:hint="eastAsia" w:ascii="仿宋_GB2312" w:hAnsi="仿宋" w:eastAsia="仿宋_GB2312"/>
                <w:color w:val="auto"/>
                <w:kern w:val="0"/>
                <w:sz w:val="24"/>
                <w:highlight w:val="none"/>
              </w:rPr>
              <w:t>13时30分（北京时间）</w:t>
            </w:r>
          </w:p>
          <w:p w14:paraId="4CDBBCA7">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地点：辽宁省沈抚公共资源交易服务有限公司（辽宁省沈阳市皇姑区北陵大街34号3号楼1510室）。</w:t>
            </w:r>
          </w:p>
        </w:tc>
      </w:tr>
      <w:tr w14:paraId="105F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959" w:type="dxa"/>
            <w:vAlign w:val="center"/>
          </w:tcPr>
          <w:p w14:paraId="377A8EE9">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21</w:t>
            </w:r>
          </w:p>
        </w:tc>
        <w:tc>
          <w:tcPr>
            <w:tcW w:w="1762" w:type="dxa"/>
            <w:vAlign w:val="center"/>
          </w:tcPr>
          <w:p w14:paraId="5E11EB69">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评标委员会</w:t>
            </w:r>
          </w:p>
          <w:p w14:paraId="2D4149FB">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组成</w:t>
            </w:r>
          </w:p>
        </w:tc>
        <w:tc>
          <w:tcPr>
            <w:tcW w:w="6068" w:type="dxa"/>
            <w:vAlign w:val="center"/>
          </w:tcPr>
          <w:p w14:paraId="2E76BEFF">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评标委员会由5人组成，其中：采购人代表1人；经济、技术评委4人，从辽宁省政府采购评审专家库抽取。</w:t>
            </w:r>
          </w:p>
        </w:tc>
      </w:tr>
      <w:tr w14:paraId="2B7D8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959" w:type="dxa"/>
            <w:vAlign w:val="center"/>
          </w:tcPr>
          <w:p w14:paraId="77806348">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25.1</w:t>
            </w:r>
          </w:p>
        </w:tc>
        <w:tc>
          <w:tcPr>
            <w:tcW w:w="1762" w:type="dxa"/>
            <w:vAlign w:val="center"/>
          </w:tcPr>
          <w:p w14:paraId="14928F2F">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样品或演示</w:t>
            </w:r>
          </w:p>
        </w:tc>
        <w:tc>
          <w:tcPr>
            <w:tcW w:w="6068" w:type="dxa"/>
            <w:vAlign w:val="center"/>
          </w:tcPr>
          <w:p w14:paraId="6039FD1B">
            <w:pPr>
              <w:keepNext w:val="0"/>
              <w:keepLines w:val="0"/>
              <w:suppressLineNumbers w:val="0"/>
              <w:spacing w:before="0" w:beforeAutospacing="0" w:after="0" w:afterAutospacing="0" w:line="440" w:lineRule="atLeast"/>
              <w:ind w:left="0" w:right="0"/>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sym w:font="Wingdings 2" w:char="00A3"/>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bCs/>
                <w:color w:val="auto"/>
                <w:kern w:val="0"/>
                <w:sz w:val="24"/>
                <w:highlight w:val="none"/>
              </w:rPr>
              <w:t>样品</w:t>
            </w:r>
            <w:r>
              <w:rPr>
                <w:rFonts w:hint="eastAsia" w:ascii="仿宋_GB2312" w:hAnsi="仿宋" w:eastAsia="仿宋_GB2312" w:cs="仿宋_GB2312"/>
                <w:b/>
                <w:color w:val="auto"/>
                <w:kern w:val="0"/>
                <w:sz w:val="24"/>
                <w:highlight w:val="none"/>
              </w:rPr>
              <w:t>（以下不适用）</w:t>
            </w:r>
            <w:r>
              <w:rPr>
                <w:rFonts w:hint="eastAsia" w:ascii="仿宋_GB2312" w:hAnsi="仿宋" w:eastAsia="仿宋_GB2312" w:cs="仿宋_GB2312"/>
                <w:bCs/>
                <w:color w:val="auto"/>
                <w:kern w:val="0"/>
                <w:sz w:val="24"/>
                <w:highlight w:val="none"/>
              </w:rPr>
              <w:t>：</w:t>
            </w:r>
          </w:p>
          <w:p w14:paraId="1AE053DD">
            <w:pPr>
              <w:keepNext w:val="0"/>
              <w:keepLines w:val="0"/>
              <w:suppressLineNumbers w:val="0"/>
              <w:spacing w:before="0" w:beforeAutospacing="0" w:after="0" w:afterAutospacing="0" w:line="440" w:lineRule="atLeast"/>
              <w:ind w:left="0" w:right="0"/>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1.样品评审方法：</w:t>
            </w:r>
            <w:r>
              <w:rPr>
                <w:rFonts w:hint="eastAsia" w:ascii="仿宋_GB2312" w:hAnsi="仿宋" w:eastAsia="仿宋_GB2312" w:cs="仿宋_GB2312"/>
                <w:color w:val="auto"/>
                <w:kern w:val="0"/>
                <w:sz w:val="24"/>
                <w:highlight w:val="none"/>
                <w:u w:val="single"/>
              </w:rPr>
              <w:t xml:space="preserve">              </w:t>
            </w:r>
          </w:p>
          <w:p w14:paraId="418C3B41">
            <w:pPr>
              <w:keepNext w:val="0"/>
              <w:keepLines w:val="0"/>
              <w:suppressLineNumbers w:val="0"/>
              <w:spacing w:before="0" w:beforeAutospacing="0" w:after="0" w:afterAutospacing="0" w:line="440" w:lineRule="atLeast"/>
              <w:ind w:left="0" w:right="0"/>
              <w:rPr>
                <w:rFonts w:hint="default" w:ascii="仿宋_GB2312" w:hAnsi="仿宋" w:eastAsia="仿宋_GB2312" w:cs="仿宋_GB2312"/>
                <w:color w:val="auto"/>
                <w:kern w:val="0"/>
                <w:sz w:val="24"/>
                <w:highlight w:val="none"/>
                <w:u w:val="single"/>
              </w:rPr>
            </w:pPr>
            <w:r>
              <w:rPr>
                <w:rFonts w:hint="eastAsia" w:ascii="仿宋_GB2312" w:hAnsi="仿宋" w:eastAsia="仿宋_GB2312" w:cs="仿宋_GB2312"/>
                <w:color w:val="auto"/>
                <w:kern w:val="0"/>
                <w:sz w:val="24"/>
                <w:highlight w:val="none"/>
              </w:rPr>
              <w:t>2.样品评审标准：</w:t>
            </w:r>
            <w:r>
              <w:rPr>
                <w:rFonts w:hint="eastAsia" w:ascii="仿宋_GB2312" w:hAnsi="仿宋" w:eastAsia="仿宋_GB2312" w:cs="仿宋_GB2312"/>
                <w:color w:val="auto"/>
                <w:kern w:val="0"/>
                <w:sz w:val="24"/>
                <w:highlight w:val="none"/>
                <w:u w:val="single"/>
              </w:rPr>
              <w:t xml:space="preserve">              </w:t>
            </w:r>
          </w:p>
          <w:p w14:paraId="3796577B">
            <w:pPr>
              <w:keepNext w:val="0"/>
              <w:keepLines w:val="0"/>
              <w:suppressLineNumbers w:val="0"/>
              <w:spacing w:before="0" w:beforeAutospacing="0" w:after="0" w:afterAutospacing="0" w:line="440" w:lineRule="atLeast"/>
              <w:ind w:left="0" w:right="0"/>
              <w:rPr>
                <w:rFonts w:hint="default" w:ascii="仿宋_GB2312" w:hAnsi="仿宋" w:eastAsia="仿宋_GB2312" w:cs="仿宋_GB2312"/>
                <w:color w:val="auto"/>
                <w:kern w:val="0"/>
                <w:sz w:val="24"/>
                <w:highlight w:val="none"/>
                <w:u w:val="single"/>
              </w:rPr>
            </w:pPr>
          </w:p>
          <w:p w14:paraId="6EE24959">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sym w:font="Wingdings 2" w:char="00A3"/>
            </w:r>
            <w:r>
              <w:rPr>
                <w:rFonts w:hint="eastAsia" w:ascii="仿宋_GB2312" w:hAnsi="仿宋" w:eastAsia="仿宋_GB2312" w:cs="仿宋_GB2312"/>
                <w:color w:val="auto"/>
                <w:kern w:val="0"/>
                <w:sz w:val="24"/>
                <w:highlight w:val="none"/>
              </w:rPr>
              <w:t xml:space="preserve"> 演示</w:t>
            </w:r>
            <w:r>
              <w:rPr>
                <w:rFonts w:hint="eastAsia" w:ascii="仿宋_GB2312" w:hAnsi="仿宋" w:eastAsia="仿宋_GB2312" w:cs="仿宋_GB2312"/>
                <w:b/>
                <w:color w:val="auto"/>
                <w:kern w:val="0"/>
                <w:sz w:val="24"/>
                <w:highlight w:val="none"/>
              </w:rPr>
              <w:t>（以下不适用）</w:t>
            </w:r>
            <w:r>
              <w:rPr>
                <w:rFonts w:hint="eastAsia" w:ascii="仿宋_GB2312" w:hAnsi="仿宋" w:eastAsia="仿宋_GB2312" w:cs="仿宋_GB2312"/>
                <w:color w:val="auto"/>
                <w:kern w:val="0"/>
                <w:sz w:val="24"/>
                <w:highlight w:val="none"/>
              </w:rPr>
              <w:t>：</w:t>
            </w:r>
          </w:p>
          <w:p w14:paraId="5F389355">
            <w:pPr>
              <w:keepNext w:val="0"/>
              <w:keepLines w:val="0"/>
              <w:widowControl/>
              <w:suppressLineNumbers w:val="0"/>
              <w:adjustRightInd w:val="0"/>
              <w:snapToGrid w:val="0"/>
              <w:spacing w:before="0" w:beforeAutospacing="0" w:after="0" w:afterAutospacing="0" w:line="360" w:lineRule="auto"/>
              <w:ind w:left="0" w:right="0"/>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1.演示评审办法：</w:t>
            </w:r>
            <w:r>
              <w:rPr>
                <w:rFonts w:hint="eastAsia" w:ascii="仿宋_GB2312" w:hAnsi="仿宋" w:eastAsia="仿宋_GB2312" w:cs="仿宋_GB2312"/>
                <w:color w:val="auto"/>
                <w:kern w:val="0"/>
                <w:sz w:val="24"/>
                <w:highlight w:val="none"/>
                <w:u w:val="single"/>
              </w:rPr>
              <w:t xml:space="preserve">               </w:t>
            </w:r>
          </w:p>
          <w:p w14:paraId="7771F75F">
            <w:pPr>
              <w:spacing w:line="360" w:lineRule="auto"/>
              <w:rPr>
                <w:color w:val="auto"/>
                <w:highlight w:val="none"/>
              </w:rPr>
            </w:pPr>
            <w:r>
              <w:rPr>
                <w:rFonts w:hint="eastAsia" w:ascii="仿宋_GB2312" w:hAnsi="仿宋" w:eastAsia="仿宋_GB2312" w:cs="仿宋_GB2312"/>
                <w:color w:val="auto"/>
                <w:kern w:val="0"/>
                <w:sz w:val="24"/>
                <w:highlight w:val="none"/>
              </w:rPr>
              <w:t>2.演示评审标准：</w:t>
            </w:r>
            <w:r>
              <w:rPr>
                <w:rFonts w:hint="eastAsia" w:ascii="仿宋_GB2312" w:hAnsi="仿宋" w:eastAsia="仿宋_GB2312" w:cs="仿宋_GB2312"/>
                <w:color w:val="auto"/>
                <w:kern w:val="0"/>
                <w:sz w:val="24"/>
                <w:highlight w:val="none"/>
                <w:u w:val="single"/>
              </w:rPr>
              <w:t xml:space="preserve">               </w:t>
            </w:r>
          </w:p>
        </w:tc>
      </w:tr>
      <w:tr w14:paraId="102AD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959" w:type="dxa"/>
            <w:vAlign w:val="center"/>
          </w:tcPr>
          <w:p w14:paraId="68C226CE">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27.2</w:t>
            </w:r>
          </w:p>
        </w:tc>
        <w:tc>
          <w:tcPr>
            <w:tcW w:w="1762" w:type="dxa"/>
            <w:vAlign w:val="center"/>
          </w:tcPr>
          <w:p w14:paraId="5FB28A11">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评标办法</w:t>
            </w:r>
          </w:p>
        </w:tc>
        <w:tc>
          <w:tcPr>
            <w:tcW w:w="6068" w:type="dxa"/>
            <w:vAlign w:val="center"/>
          </w:tcPr>
          <w:p w14:paraId="12C019B5">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综合评分法</w:t>
            </w:r>
          </w:p>
          <w:p w14:paraId="031E3783">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最低评标价法</w:t>
            </w:r>
          </w:p>
        </w:tc>
      </w:tr>
      <w:tr w14:paraId="3BF25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17C9976A">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29.2</w:t>
            </w:r>
          </w:p>
        </w:tc>
        <w:tc>
          <w:tcPr>
            <w:tcW w:w="1762" w:type="dxa"/>
            <w:vAlign w:val="center"/>
          </w:tcPr>
          <w:p w14:paraId="1A053045">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推荐中标候选人的数量</w:t>
            </w:r>
          </w:p>
        </w:tc>
        <w:tc>
          <w:tcPr>
            <w:tcW w:w="6068" w:type="dxa"/>
            <w:vAlign w:val="center"/>
          </w:tcPr>
          <w:p w14:paraId="322EC1B5">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3名。</w:t>
            </w:r>
          </w:p>
        </w:tc>
      </w:tr>
      <w:tr w14:paraId="6196E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0BBB5EB2">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31</w:t>
            </w:r>
          </w:p>
        </w:tc>
        <w:tc>
          <w:tcPr>
            <w:tcW w:w="1762" w:type="dxa"/>
            <w:vAlign w:val="center"/>
          </w:tcPr>
          <w:p w14:paraId="5FD4F406">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确定中标人的方式</w:t>
            </w:r>
          </w:p>
        </w:tc>
        <w:tc>
          <w:tcPr>
            <w:tcW w:w="6068" w:type="dxa"/>
            <w:vAlign w:val="center"/>
          </w:tcPr>
          <w:p w14:paraId="1181E798">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中标人数量：1名。</w:t>
            </w:r>
          </w:p>
          <w:p w14:paraId="3A8EAC8B">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采购人委托评标委员会直接确定中标人</w:t>
            </w:r>
          </w:p>
          <w:p w14:paraId="5693C5F6">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采购人确定中标人</w:t>
            </w:r>
          </w:p>
        </w:tc>
      </w:tr>
      <w:tr w14:paraId="4C2B8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9" w:type="dxa"/>
            <w:vAlign w:val="center"/>
          </w:tcPr>
          <w:p w14:paraId="23F2ECC5">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35.1</w:t>
            </w:r>
          </w:p>
        </w:tc>
        <w:tc>
          <w:tcPr>
            <w:tcW w:w="1762" w:type="dxa"/>
            <w:vAlign w:val="center"/>
          </w:tcPr>
          <w:p w14:paraId="2B30D7DC">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履约保证金</w:t>
            </w:r>
          </w:p>
        </w:tc>
        <w:tc>
          <w:tcPr>
            <w:tcW w:w="6068" w:type="dxa"/>
            <w:vAlign w:val="center"/>
          </w:tcPr>
          <w:p w14:paraId="49D6B61D">
            <w:pPr>
              <w:widowControl/>
              <w:spacing w:line="360" w:lineRule="auto"/>
              <w:jc w:val="left"/>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sym w:font="Wingdings 2" w:char="0052"/>
            </w:r>
            <w:r>
              <w:rPr>
                <w:rFonts w:hint="eastAsia" w:ascii="仿宋_GB2312" w:hAnsi="仿宋" w:eastAsia="仿宋_GB2312"/>
                <w:color w:val="auto"/>
                <w:kern w:val="0"/>
                <w:sz w:val="24"/>
                <w:highlight w:val="none"/>
              </w:rPr>
              <w:t xml:space="preserve"> 不收取履约保证金</w:t>
            </w:r>
          </w:p>
          <w:p w14:paraId="7BBC8284">
            <w:pPr>
              <w:widowControl/>
              <w:spacing w:line="360" w:lineRule="auto"/>
              <w:jc w:val="left"/>
              <w:rPr>
                <w:color w:val="auto"/>
                <w:highlight w:val="none"/>
              </w:rPr>
            </w:pPr>
            <w:r>
              <w:rPr>
                <w:rFonts w:hint="eastAsia" w:ascii="仿宋_GB2312" w:hAnsi="仿宋" w:eastAsia="仿宋_GB2312"/>
                <w:color w:val="auto"/>
                <w:kern w:val="0"/>
                <w:sz w:val="24"/>
                <w:highlight w:val="none"/>
              </w:rPr>
              <w:sym w:font="Wingdings 2" w:char="00A3"/>
            </w:r>
            <w:r>
              <w:rPr>
                <w:rFonts w:hint="eastAsia" w:ascii="仿宋_GB2312" w:hAnsi="仿宋" w:eastAsia="仿宋_GB2312"/>
                <w:color w:val="auto"/>
                <w:kern w:val="0"/>
                <w:sz w:val="24"/>
                <w:highlight w:val="none"/>
              </w:rPr>
              <w:t xml:space="preserve"> </w:t>
            </w:r>
            <w:r>
              <w:rPr>
                <w:rFonts w:hint="eastAsia" w:ascii="仿宋_GB2312" w:hAnsi="仿宋" w:eastAsia="仿宋_GB2312"/>
                <w:b w:val="0"/>
                <w:bCs w:val="0"/>
                <w:color w:val="auto"/>
                <w:kern w:val="0"/>
                <w:sz w:val="24"/>
                <w:highlight w:val="none"/>
              </w:rPr>
              <w:t>收取履约保证金</w:t>
            </w:r>
          </w:p>
        </w:tc>
      </w:tr>
      <w:tr w14:paraId="42DD0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959" w:type="dxa"/>
            <w:vMerge w:val="restart"/>
            <w:vAlign w:val="center"/>
          </w:tcPr>
          <w:p w14:paraId="21039E88">
            <w:pPr>
              <w:widowControl/>
              <w:spacing w:line="360" w:lineRule="auto"/>
              <w:jc w:val="center"/>
              <w:rPr>
                <w:color w:val="auto"/>
                <w:highlight w:val="none"/>
              </w:rPr>
            </w:pPr>
            <w:r>
              <w:rPr>
                <w:rFonts w:hint="eastAsia" w:ascii="仿宋_GB2312" w:hAnsi="仿宋" w:eastAsia="仿宋_GB2312" w:cs="仿宋_GB2312"/>
                <w:color w:val="auto"/>
                <w:kern w:val="0"/>
                <w:sz w:val="24"/>
                <w:highlight w:val="none"/>
              </w:rPr>
              <w:t>36</w:t>
            </w:r>
          </w:p>
        </w:tc>
        <w:tc>
          <w:tcPr>
            <w:tcW w:w="1762" w:type="dxa"/>
            <w:vMerge w:val="restart"/>
            <w:vAlign w:val="center"/>
          </w:tcPr>
          <w:p w14:paraId="54A45A36">
            <w:pPr>
              <w:widowControl/>
              <w:spacing w:line="360" w:lineRule="auto"/>
              <w:jc w:val="center"/>
              <w:rPr>
                <w:color w:val="auto"/>
                <w:highlight w:val="none"/>
              </w:rPr>
            </w:pPr>
            <w:r>
              <w:rPr>
                <w:rFonts w:hint="eastAsia" w:ascii="仿宋_GB2312" w:hAnsi="仿宋" w:eastAsia="仿宋_GB2312" w:cs="仿宋_GB2312"/>
                <w:color w:val="auto"/>
                <w:kern w:val="0"/>
                <w:sz w:val="24"/>
                <w:highlight w:val="none"/>
              </w:rPr>
              <w:t>采购代理服务费</w:t>
            </w:r>
          </w:p>
        </w:tc>
        <w:tc>
          <w:tcPr>
            <w:tcW w:w="6068" w:type="dxa"/>
            <w:vAlign w:val="center"/>
          </w:tcPr>
          <w:p w14:paraId="70B14592">
            <w:pPr>
              <w:keepNext w:val="0"/>
              <w:keepLines w:val="0"/>
              <w:widowControl/>
              <w:suppressLineNumbers w:val="0"/>
              <w:spacing w:before="0" w:beforeAutospacing="0" w:after="0" w:afterAutospacing="0" w:line="360" w:lineRule="auto"/>
              <w:ind w:left="0" w:right="0"/>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sym w:font="Wingdings 2" w:char="0052"/>
            </w:r>
            <w:r>
              <w:rPr>
                <w:rFonts w:hint="eastAsia" w:ascii="仿宋_GB2312" w:hAnsi="仿宋" w:eastAsia="仿宋_GB2312" w:cs="仿宋_GB2312"/>
                <w:color w:val="auto"/>
                <w:kern w:val="0"/>
                <w:sz w:val="24"/>
                <w:highlight w:val="none"/>
              </w:rPr>
              <w:t xml:space="preserve"> 集中采购</w:t>
            </w:r>
          </w:p>
          <w:p w14:paraId="1DF74EB1">
            <w:pPr>
              <w:pStyle w:val="52"/>
              <w:keepNext w:val="0"/>
              <w:keepLines w:val="0"/>
              <w:widowControl/>
              <w:suppressLineNumbers w:val="0"/>
              <w:spacing w:before="0" w:beforeAutospacing="0" w:after="0" w:afterAutospacing="0" w:line="360" w:lineRule="auto"/>
              <w:ind w:left="0" w:leftChars="0" w:right="0" w:rightChars="0" w:firstLine="0" w:firstLineChars="0"/>
              <w:rPr>
                <w:rFonts w:hint="eastAsia" w:ascii="仿宋_GB2312" w:hAnsi="仿宋" w:eastAsia="仿宋_GB2312"/>
                <w:color w:val="auto"/>
                <w:kern w:val="0"/>
                <w:sz w:val="24"/>
                <w:highlight w:val="none"/>
              </w:rPr>
            </w:pPr>
            <w:r>
              <w:rPr>
                <w:rFonts w:hint="eastAsia" w:ascii="仿宋_GB2312" w:hAnsi="仿宋" w:eastAsia="仿宋_GB2312" w:cs="仿宋_GB2312"/>
                <w:color w:val="auto"/>
                <w:sz w:val="24"/>
                <w:highlight w:val="none"/>
              </w:rPr>
              <w:sym w:font="Wingdings 2" w:char="00A3"/>
            </w:r>
            <w:r>
              <w:rPr>
                <w:rFonts w:hint="eastAsia" w:ascii="仿宋_GB2312" w:hAnsi="仿宋" w:eastAsia="仿宋_GB2312" w:cs="仿宋_GB2312"/>
                <w:color w:val="auto"/>
                <w:sz w:val="24"/>
                <w:highlight w:val="none"/>
              </w:rPr>
              <w:t xml:space="preserve"> </w:t>
            </w:r>
            <w:r>
              <w:rPr>
                <w:rFonts w:hint="eastAsia" w:ascii="仿宋_GB2312" w:hAnsi="仿宋" w:eastAsia="仿宋_GB2312" w:cs="仿宋_GB2312"/>
                <w:color w:val="auto"/>
                <w:kern w:val="0"/>
                <w:sz w:val="24"/>
                <w:highlight w:val="none"/>
              </w:rPr>
              <w:t>分散采购</w:t>
            </w:r>
          </w:p>
        </w:tc>
      </w:tr>
      <w:tr w14:paraId="1ACD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959" w:type="dxa"/>
            <w:vMerge w:val="continue"/>
            <w:vAlign w:val="center"/>
          </w:tcPr>
          <w:p w14:paraId="72D90DA5">
            <w:pPr>
              <w:widowControl/>
              <w:spacing w:line="360" w:lineRule="auto"/>
              <w:jc w:val="center"/>
              <w:rPr>
                <w:color w:val="auto"/>
                <w:highlight w:val="none"/>
              </w:rPr>
            </w:pPr>
          </w:p>
        </w:tc>
        <w:tc>
          <w:tcPr>
            <w:tcW w:w="1762" w:type="dxa"/>
            <w:vMerge w:val="continue"/>
            <w:vAlign w:val="center"/>
          </w:tcPr>
          <w:p w14:paraId="62632479">
            <w:pPr>
              <w:widowControl/>
              <w:spacing w:line="360" w:lineRule="auto"/>
              <w:jc w:val="center"/>
              <w:rPr>
                <w:color w:val="auto"/>
                <w:highlight w:val="none"/>
              </w:rPr>
            </w:pPr>
          </w:p>
        </w:tc>
        <w:tc>
          <w:tcPr>
            <w:tcW w:w="6068" w:type="dxa"/>
            <w:vAlign w:val="center"/>
          </w:tcPr>
          <w:p w14:paraId="353FAD29">
            <w:pPr>
              <w:keepNext w:val="0"/>
              <w:keepLines w:val="0"/>
              <w:widowControl/>
              <w:suppressLineNumbers w:val="0"/>
              <w:spacing w:before="0" w:beforeAutospacing="0" w:after="0" w:afterAutospacing="0" w:line="360" w:lineRule="auto"/>
              <w:ind w:left="0" w:right="0"/>
              <w:rPr>
                <w:rFonts w:hint="default"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sym w:font="Wingdings 2" w:char="0052"/>
            </w:r>
            <w:r>
              <w:rPr>
                <w:rFonts w:hint="eastAsia" w:ascii="仿宋_GB2312" w:hAnsi="仿宋" w:eastAsia="仿宋_GB2312" w:cs="仿宋_GB2312"/>
                <w:color w:val="auto"/>
                <w:kern w:val="0"/>
                <w:sz w:val="24"/>
                <w:highlight w:val="none"/>
              </w:rPr>
              <w:t xml:space="preserve"> 不收取采购代理服务费</w:t>
            </w:r>
          </w:p>
          <w:p w14:paraId="271DCA35">
            <w:pPr>
              <w:keepNext w:val="0"/>
              <w:keepLines w:val="0"/>
              <w:widowControl/>
              <w:suppressLineNumbers w:val="0"/>
              <w:spacing w:before="0" w:beforeAutospacing="0" w:after="0" w:afterAutospacing="0" w:line="360" w:lineRule="auto"/>
              <w:ind w:left="0" w:leftChars="0" w:right="0" w:rightChars="0"/>
              <w:rPr>
                <w:color w:val="auto"/>
                <w:highlight w:val="none"/>
              </w:rPr>
            </w:pPr>
            <w:r>
              <w:rPr>
                <w:rFonts w:hint="eastAsia" w:ascii="仿宋_GB2312" w:hAnsi="仿宋" w:eastAsia="仿宋_GB2312" w:cs="仿宋_GB2312"/>
                <w:color w:val="auto"/>
                <w:sz w:val="24"/>
                <w:highlight w:val="none"/>
              </w:rPr>
              <w:sym w:font="Wingdings 2" w:char="00A3"/>
            </w:r>
            <w:r>
              <w:rPr>
                <w:rFonts w:hint="default"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rPr>
              <w:t>收取采购代理服务费</w:t>
            </w:r>
          </w:p>
        </w:tc>
      </w:tr>
      <w:tr w14:paraId="6AB35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59" w:type="dxa"/>
            <w:vAlign w:val="center"/>
          </w:tcPr>
          <w:p w14:paraId="7331F29C">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39.3</w:t>
            </w:r>
          </w:p>
        </w:tc>
        <w:tc>
          <w:tcPr>
            <w:tcW w:w="1762" w:type="dxa"/>
            <w:vAlign w:val="center"/>
          </w:tcPr>
          <w:p w14:paraId="124AB314">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质疑</w:t>
            </w:r>
          </w:p>
        </w:tc>
        <w:tc>
          <w:tcPr>
            <w:tcW w:w="6068" w:type="dxa"/>
            <w:vAlign w:val="center"/>
          </w:tcPr>
          <w:p w14:paraId="7750BBC8">
            <w:pPr>
              <w:widowControl/>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一、投标人认为自己的权益受到损害的，可以在知道或者应知其权益受到损害之日起七个工作日内，向采购组织机构提出质疑。</w:t>
            </w:r>
          </w:p>
          <w:p w14:paraId="2576EF68">
            <w:pPr>
              <w:widowControl/>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1.接收线上质疑函的方式：电子版质疑函上传至辽宁政府采购网；</w:t>
            </w:r>
          </w:p>
          <w:p w14:paraId="3A8FDC04">
            <w:pPr>
              <w:widowControl/>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2.</w:t>
            </w:r>
            <w:r>
              <w:rPr>
                <w:rFonts w:hint="eastAsia" w:ascii="仿宋_GB2312" w:hAnsi="仿宋" w:eastAsia="仿宋_GB2312" w:cs="仿宋_GB2312"/>
                <w:color w:val="auto"/>
                <w:sz w:val="24"/>
                <w:highlight w:val="none"/>
              </w:rPr>
              <w:t>接收书面纸质质疑函的方式：接收加盖单位公章的书面质疑函；</w:t>
            </w:r>
          </w:p>
          <w:p w14:paraId="174EC212">
            <w:pPr>
              <w:widowControl/>
              <w:spacing w:line="360" w:lineRule="auto"/>
              <w:ind w:firstLine="240" w:firstLineChars="100"/>
              <w:rPr>
                <w:rFonts w:ascii="仿宋_GB2312" w:hAnsi="仿宋" w:eastAsia="仿宋_GB2312" w:cs="仿宋_GB2312"/>
                <w:color w:val="auto"/>
                <w:kern w:val="0"/>
                <w:sz w:val="24"/>
                <w:highlight w:val="none"/>
                <w:u w:val="single"/>
              </w:rPr>
            </w:pPr>
            <w:r>
              <w:rPr>
                <w:rFonts w:hint="eastAsia" w:ascii="仿宋_GB2312" w:hAnsi="仿宋" w:eastAsia="仿宋_GB2312" w:cs="仿宋_GB2312"/>
                <w:color w:val="auto"/>
                <w:sz w:val="24"/>
                <w:highlight w:val="none"/>
              </w:rPr>
              <w:t>联系单位：</w:t>
            </w:r>
            <w:r>
              <w:rPr>
                <w:rFonts w:hint="eastAsia" w:ascii="仿宋_GB2312" w:hAnsi="仿宋" w:eastAsia="仿宋_GB2312" w:cs="仿宋_GB2312"/>
                <w:color w:val="auto"/>
                <w:kern w:val="0"/>
                <w:sz w:val="24"/>
                <w:highlight w:val="none"/>
                <w:u w:val="single"/>
              </w:rPr>
              <w:t>辽宁省沈抚公共资源交易服务有限公司</w:t>
            </w:r>
          </w:p>
          <w:p w14:paraId="259CAC51">
            <w:pPr>
              <w:pStyle w:val="9"/>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 系 人：</w:t>
            </w:r>
            <w:r>
              <w:rPr>
                <w:rFonts w:hint="eastAsia" w:ascii="仿宋_GB2312" w:hAnsi="仿宋" w:eastAsia="仿宋_GB2312" w:cs="仿宋_GB2312"/>
                <w:color w:val="auto"/>
                <w:sz w:val="24"/>
                <w:highlight w:val="none"/>
                <w:u w:val="single"/>
                <w:lang w:val="en-US" w:eastAsia="zh-CN"/>
              </w:rPr>
              <w:t>郝永恒</w:t>
            </w:r>
          </w:p>
          <w:p w14:paraId="6BEE160A">
            <w:pPr>
              <w:widowControl/>
              <w:spacing w:line="360" w:lineRule="auto"/>
              <w:ind w:firstLine="240" w:firstLineChars="100"/>
              <w:rPr>
                <w:rFonts w:ascii="仿宋_GB2312" w:hAnsi="仿宋" w:eastAsia="仿宋_GB2312" w:cs="仿宋_GB2312"/>
                <w:color w:val="auto"/>
                <w:kern w:val="0"/>
                <w:sz w:val="24"/>
                <w:highlight w:val="none"/>
                <w:u w:val="single"/>
              </w:rPr>
            </w:pPr>
            <w:r>
              <w:rPr>
                <w:rFonts w:hint="eastAsia" w:ascii="仿宋_GB2312" w:hAnsi="仿宋" w:eastAsia="仿宋_GB2312" w:cs="仿宋_GB2312"/>
                <w:color w:val="auto"/>
                <w:sz w:val="24"/>
                <w:highlight w:val="none"/>
              </w:rPr>
              <w:t>联系电话：</w:t>
            </w:r>
            <w:r>
              <w:rPr>
                <w:rFonts w:hint="eastAsia" w:ascii="仿宋_GB2312" w:hAnsi="仿宋" w:eastAsia="仿宋_GB2312" w:cs="仿宋_GB2312"/>
                <w:color w:val="auto"/>
                <w:sz w:val="24"/>
                <w:highlight w:val="none"/>
                <w:u w:val="single"/>
              </w:rPr>
              <w:t>024-31513417</w:t>
            </w:r>
          </w:p>
          <w:p w14:paraId="1545D1DA">
            <w:pPr>
              <w:widowControl/>
              <w:spacing w:line="360" w:lineRule="auto"/>
              <w:ind w:firstLine="240" w:firstLineChars="100"/>
              <w:rPr>
                <w:rFonts w:ascii="仿宋_GB2312" w:hAnsi="仿宋" w:eastAsia="仿宋_GB2312" w:cs="仿宋_GB2312"/>
                <w:color w:val="auto"/>
                <w:kern w:val="0"/>
                <w:sz w:val="24"/>
                <w:highlight w:val="none"/>
                <w:u w:val="single"/>
              </w:rPr>
            </w:pPr>
            <w:r>
              <w:rPr>
                <w:rFonts w:hint="eastAsia" w:ascii="仿宋_GB2312" w:hAnsi="仿宋" w:eastAsia="仿宋_GB2312" w:cs="仿宋_GB2312"/>
                <w:color w:val="auto"/>
                <w:sz w:val="24"/>
                <w:highlight w:val="none"/>
              </w:rPr>
              <w:t>通讯地址：</w:t>
            </w:r>
            <w:r>
              <w:rPr>
                <w:rFonts w:hint="eastAsia" w:ascii="仿宋_GB2312" w:hAnsi="仿宋" w:eastAsia="仿宋_GB2312" w:cs="仿宋_GB2312"/>
                <w:color w:val="auto"/>
                <w:sz w:val="24"/>
                <w:highlight w:val="none"/>
                <w:u w:val="single"/>
              </w:rPr>
              <w:t>辽宁省沈阳市皇姑区北陵大街34号3号楼1502室</w:t>
            </w:r>
          </w:p>
          <w:p w14:paraId="5AF84DD8">
            <w:pPr>
              <w:widowControl/>
              <w:spacing w:line="360" w:lineRule="auto"/>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3</w:t>
            </w:r>
            <w:r>
              <w:rPr>
                <w:rFonts w:hint="eastAsia" w:ascii="仿宋_GB2312" w:hAnsi="仿宋" w:eastAsia="仿宋_GB2312" w:cs="仿宋_GB2312"/>
                <w:color w:val="auto"/>
                <w:sz w:val="24"/>
                <w:highlight w:val="none"/>
              </w:rPr>
              <w:t>.质疑函的内容、格式：应符合《政府采购质疑和投诉办法》相关规定和财政部门制定的《政府采购质疑函范本》格式。</w:t>
            </w:r>
          </w:p>
          <w:p w14:paraId="61941349">
            <w:pPr>
              <w:pStyle w:val="9"/>
              <w:spacing w:line="360" w:lineRule="auto"/>
              <w:rPr>
                <w:rFonts w:ascii="仿宋_GB2312" w:hAnsi="仿宋" w:eastAsia="仿宋_GB2312"/>
                <w:color w:val="auto"/>
                <w:kern w:val="0"/>
                <w:sz w:val="24"/>
                <w:highlight w:val="none"/>
              </w:rPr>
            </w:pPr>
            <w:r>
              <w:rPr>
                <w:rFonts w:hint="eastAsia" w:ascii="仿宋_GB2312" w:hAnsi="仿宋" w:eastAsia="仿宋_GB2312" w:cs="仿宋_GB2312"/>
                <w:color w:val="auto"/>
                <w:sz w:val="24"/>
                <w:highlight w:val="none"/>
              </w:rPr>
              <w:t>二、投标人应在法定质疑期内一次性针对同一采购程序环节提出质疑，否则针对再次提出质疑将不予接收。（采购程序环节分为：</w:t>
            </w: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sz w:val="24"/>
                <w:highlight w:val="none"/>
              </w:rPr>
              <w:t>公告、招标文件、招标过程、中标结果）</w:t>
            </w:r>
          </w:p>
        </w:tc>
      </w:tr>
      <w:tr w14:paraId="5896A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9" w:type="dxa"/>
            <w:vAlign w:val="center"/>
          </w:tcPr>
          <w:p w14:paraId="7D5E56E2">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补充</w:t>
            </w:r>
          </w:p>
          <w:p w14:paraId="156520E6">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说明1</w:t>
            </w:r>
          </w:p>
        </w:tc>
        <w:tc>
          <w:tcPr>
            <w:tcW w:w="1762" w:type="dxa"/>
            <w:vAlign w:val="center"/>
          </w:tcPr>
          <w:p w14:paraId="5B7CFD04">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参与投标相关要求</w:t>
            </w:r>
          </w:p>
        </w:tc>
        <w:tc>
          <w:tcPr>
            <w:tcW w:w="6068" w:type="dxa"/>
            <w:vAlign w:val="center"/>
          </w:tcPr>
          <w:p w14:paraId="3F5C7E2C">
            <w:pPr>
              <w:widowControl/>
              <w:adjustRightInd w:val="0"/>
              <w:snapToGrid w:val="0"/>
              <w:spacing w:before="156" w:beforeLines="50"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宋体"/>
                <w:color w:val="auto"/>
                <w:sz w:val="24"/>
                <w:highlight w:val="none"/>
              </w:rPr>
              <w:t>1.供应商</w:t>
            </w:r>
            <w:r>
              <w:rPr>
                <w:rFonts w:hint="eastAsia" w:ascii="仿宋_GB2312" w:hAnsi="仿宋" w:eastAsia="仿宋_GB2312" w:cs="仿宋_GB2312"/>
                <w:color w:val="auto"/>
                <w:sz w:val="24"/>
                <w:highlight w:val="none"/>
              </w:rPr>
              <w:t>须及时办理CA数字证书，否则应自行承担无法正常参与项目的不利后果。投标人应详阅辽宁政府采购网首页“办事指南”中的“辽宁政府采购网关于办理CA数字证书的操作手册”和“辽宁政府采购网新版系统供应商操作手册”，具体规定详见《关于启用政府采购数字认证和电子招投标业务有关事宜的通知》（辽财采〔2020〕298号）。</w:t>
            </w:r>
          </w:p>
          <w:p w14:paraId="4323115B">
            <w:pPr>
              <w:widowControl/>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投标文件递交方式为线上递交，同时需现场递交备份投标文件，并保持内容一致。备份投标文件为以U盘形式存储的加密备份文件，具体规定详见《关于完善政府采购电子评审业务流程等有关事宜的通知》（辽财采〔2021〕363号）。</w:t>
            </w:r>
          </w:p>
          <w:p w14:paraId="6F43D430">
            <w:pPr>
              <w:widowControl/>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3.开标现场各</w:t>
            </w:r>
            <w:r>
              <w:rPr>
                <w:rFonts w:hint="eastAsia" w:ascii="仿宋_GB2312" w:hAnsi="仿宋" w:eastAsia="仿宋_GB2312" w:cs="宋体"/>
                <w:color w:val="auto"/>
                <w:sz w:val="24"/>
                <w:highlight w:val="none"/>
              </w:rPr>
              <w:t>供应商</w:t>
            </w:r>
            <w:r>
              <w:rPr>
                <w:rFonts w:hint="eastAsia" w:ascii="仿宋_GB2312" w:hAnsi="仿宋" w:eastAsia="仿宋_GB2312" w:cs="仿宋_GB2312"/>
                <w:color w:val="auto"/>
                <w:sz w:val="24"/>
                <w:highlight w:val="none"/>
              </w:rPr>
              <w:t>可远程解密或自行携带笔记本电脑及CA数字证书等电子设备，进行Ukey或手机移动证书（扫码）登录、报价解密等相关操作。</w:t>
            </w:r>
          </w:p>
          <w:p w14:paraId="36ED676B">
            <w:pPr>
              <w:widowControl/>
              <w:spacing w:line="360" w:lineRule="auto"/>
              <w:ind w:firstLine="480" w:firstLineChars="200"/>
              <w:rPr>
                <w:rFonts w:ascii="仿宋_GB2312" w:hAnsi="仿宋" w:eastAsia="仿宋_GB2312"/>
                <w:color w:val="auto"/>
                <w:kern w:val="0"/>
                <w:sz w:val="24"/>
                <w:highlight w:val="none"/>
              </w:rPr>
            </w:pPr>
            <w:r>
              <w:rPr>
                <w:rFonts w:hint="eastAsia" w:ascii="仿宋_GB2312" w:hAnsi="仿宋" w:eastAsia="仿宋_GB2312" w:cs="仿宋_GB2312"/>
                <w:color w:val="auto"/>
                <w:sz w:val="24"/>
                <w:highlight w:val="none"/>
              </w:rPr>
              <w:t>4.</w:t>
            </w:r>
            <w:r>
              <w:rPr>
                <w:rFonts w:hint="eastAsia" w:ascii="仿宋_GB2312" w:hAnsi="仿宋" w:eastAsia="仿宋_GB2312"/>
                <w:color w:val="auto"/>
                <w:kern w:val="0"/>
                <w:sz w:val="24"/>
                <w:highlight w:val="none"/>
              </w:rPr>
              <w:t>报价解密原则上需在30分钟内完成。投标人因客观原因导致电子投标文件无法在规定时间内解密，将其无法解密原因报送给监督部门，经监督部门同意方可延长解密时间；若投标人因主观原因导致电子投标文件无法在规定时间内解密，造成的一切不良后果由投标人自行承担。</w:t>
            </w:r>
          </w:p>
          <w:p w14:paraId="7E851C96">
            <w:pPr>
              <w:widowControl/>
              <w:spacing w:line="360" w:lineRule="auto"/>
              <w:ind w:firstLine="480" w:firstLineChars="200"/>
              <w:rPr>
                <w:rFonts w:ascii="仿宋_GB2312" w:hAnsi="仿宋" w:eastAsia="仿宋_GB2312" w:cs="宋体"/>
                <w:color w:val="auto"/>
                <w:sz w:val="24"/>
                <w:highlight w:val="none"/>
              </w:rPr>
            </w:pPr>
            <w:r>
              <w:rPr>
                <w:rFonts w:hint="eastAsia" w:ascii="仿宋_GB2312" w:hAnsi="仿宋" w:eastAsia="仿宋_GB2312" w:cs="宋体"/>
                <w:color w:val="auto"/>
                <w:sz w:val="24"/>
                <w:highlight w:val="none"/>
              </w:rPr>
              <w:t>5.在电子化开评标过程中出现的其他特殊情况及其他未尽事宜，按财政厅最新文件执行。</w:t>
            </w:r>
          </w:p>
          <w:p w14:paraId="14468C02">
            <w:pPr>
              <w:widowControl/>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w:t>
            </w:r>
            <w:r>
              <w:rPr>
                <w:rFonts w:hint="eastAsia" w:ascii="仿宋_GB2312" w:hAnsi="仿宋" w:eastAsia="仿宋_GB2312" w:cs="宋体"/>
                <w:color w:val="auto"/>
                <w:sz w:val="24"/>
                <w:highlight w:val="none"/>
              </w:rPr>
              <w:t>供应商</w:t>
            </w:r>
            <w:r>
              <w:rPr>
                <w:rFonts w:hint="eastAsia" w:ascii="仿宋_GB2312" w:hAnsi="仿宋" w:eastAsia="仿宋_GB2312" w:cs="仿宋_GB2312"/>
                <w:color w:val="auto"/>
                <w:sz w:val="24"/>
                <w:highlight w:val="none"/>
              </w:rPr>
              <w:t>在投标的全过程中要随时关注辽宁政府采购网，及时获取相关信息，否则由此造成的一切后果，由</w:t>
            </w:r>
            <w:r>
              <w:rPr>
                <w:rFonts w:hint="eastAsia" w:ascii="仿宋_GB2312" w:hAnsi="仿宋" w:eastAsia="仿宋_GB2312" w:cs="宋体"/>
                <w:color w:val="auto"/>
                <w:sz w:val="24"/>
                <w:highlight w:val="none"/>
              </w:rPr>
              <w:t>供应商</w:t>
            </w:r>
            <w:r>
              <w:rPr>
                <w:rFonts w:hint="eastAsia" w:ascii="仿宋_GB2312" w:hAnsi="仿宋" w:eastAsia="仿宋_GB2312" w:cs="仿宋_GB2312"/>
                <w:color w:val="auto"/>
                <w:sz w:val="24"/>
                <w:highlight w:val="none"/>
              </w:rPr>
              <w:t>自行承担。</w:t>
            </w:r>
          </w:p>
          <w:p w14:paraId="3575F612">
            <w:pPr>
              <w:widowControl/>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辽宁省政府采购网技术咨询电话：400-128-8588</w:t>
            </w:r>
          </w:p>
          <w:p w14:paraId="39FA9C84">
            <w:pPr>
              <w:spacing w:line="360" w:lineRule="auto"/>
              <w:ind w:firstLine="540"/>
              <w:jc w:val="left"/>
              <w:rPr>
                <w:rFonts w:ascii="仿宋_GB2312" w:hAnsi="仿宋" w:eastAsia="仿宋_GB2312"/>
                <w:color w:val="auto"/>
                <w:kern w:val="0"/>
                <w:sz w:val="24"/>
                <w:highlight w:val="none"/>
              </w:rPr>
            </w:pPr>
            <w:r>
              <w:rPr>
                <w:rFonts w:hint="eastAsia" w:ascii="仿宋_GB2312" w:hAnsi="仿宋" w:eastAsia="仿宋_GB2312" w:cs="仿宋_GB2312"/>
                <w:color w:val="auto"/>
                <w:sz w:val="24"/>
                <w:highlight w:val="none"/>
              </w:rPr>
              <w:t>CA数字证书办理咨询电话：024-26206677或15640359297</w:t>
            </w:r>
          </w:p>
        </w:tc>
      </w:tr>
      <w:tr w14:paraId="7E68F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959" w:type="dxa"/>
            <w:vAlign w:val="center"/>
          </w:tcPr>
          <w:p w14:paraId="58E9EC56">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补充</w:t>
            </w:r>
          </w:p>
          <w:p w14:paraId="3306D859">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说明2</w:t>
            </w:r>
          </w:p>
        </w:tc>
        <w:tc>
          <w:tcPr>
            <w:tcW w:w="1762" w:type="dxa"/>
            <w:vAlign w:val="center"/>
          </w:tcPr>
          <w:p w14:paraId="52FC2AD0">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采购标的对应的中小企业划分标准所属</w:t>
            </w:r>
          </w:p>
          <w:p w14:paraId="74CB8A2F">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行业</w:t>
            </w:r>
          </w:p>
        </w:tc>
        <w:tc>
          <w:tcPr>
            <w:tcW w:w="6068" w:type="dxa"/>
            <w:vAlign w:val="center"/>
          </w:tcPr>
          <w:p w14:paraId="2052039F">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i w:val="0"/>
                <w:iCs w:val="0"/>
                <w:caps w:val="0"/>
                <w:color w:val="auto"/>
                <w:spacing w:val="0"/>
                <w:sz w:val="24"/>
                <w:szCs w:val="24"/>
                <w:highlight w:val="none"/>
                <w:shd w:val="clear" w:fill="FFFFFF"/>
                <w:lang w:val="en-US" w:eastAsia="zh-CN"/>
              </w:rPr>
            </w:pPr>
            <w:r>
              <w:rPr>
                <w:rFonts w:hint="eastAsia" w:ascii="仿宋_GB2312" w:hAnsi="仿宋_GB2312" w:eastAsia="仿宋_GB2312" w:cs="仿宋_GB2312"/>
                <w:i w:val="0"/>
                <w:iCs w:val="0"/>
                <w:caps w:val="0"/>
                <w:color w:val="auto"/>
                <w:spacing w:val="0"/>
                <w:sz w:val="24"/>
                <w:szCs w:val="24"/>
                <w:highlight w:val="none"/>
                <w:shd w:val="clear" w:fill="FFFFFF"/>
              </w:rPr>
              <w:t>中小企业划分标准所属行业为</w:t>
            </w:r>
            <w:r>
              <w:rPr>
                <w:rFonts w:hint="eastAsia" w:ascii="仿宋_GB2312" w:hAnsi="仿宋_GB2312" w:eastAsia="仿宋_GB2312" w:cs="仿宋_GB2312"/>
                <w:b/>
                <w:bCs/>
                <w:i w:val="0"/>
                <w:iCs w:val="0"/>
                <w:caps w:val="0"/>
                <w:color w:val="auto"/>
                <w:spacing w:val="0"/>
                <w:sz w:val="24"/>
                <w:szCs w:val="24"/>
                <w:highlight w:val="none"/>
                <w:shd w:val="clear" w:fill="FFFFFF"/>
              </w:rPr>
              <w:t>“</w:t>
            </w: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工业</w:t>
            </w:r>
            <w:r>
              <w:rPr>
                <w:rFonts w:hint="eastAsia" w:ascii="仿宋_GB2312" w:hAnsi="仿宋_GB2312" w:eastAsia="仿宋_GB2312" w:cs="仿宋_GB2312"/>
                <w:b/>
                <w:bCs/>
                <w:i w:val="0"/>
                <w:iCs w:val="0"/>
                <w:caps w:val="0"/>
                <w:color w:val="auto"/>
                <w:spacing w:val="0"/>
                <w:sz w:val="24"/>
                <w:szCs w:val="24"/>
                <w:highlight w:val="none"/>
                <w:shd w:val="clear" w:fill="FFFFFF"/>
              </w:rPr>
              <w:t>”</w:t>
            </w: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/“软件和信息技术服务业”/“</w:t>
            </w:r>
            <w:r>
              <w:rPr>
                <w:rFonts w:hint="eastAsia" w:eastAsia="仿宋_GB2312" w:cs="Times New Roman"/>
                <w:b/>
                <w:bCs/>
                <w:color w:val="auto"/>
                <w:sz w:val="24"/>
                <w:highlight w:val="none"/>
                <w:lang w:val="en-US" w:eastAsia="zh-CN"/>
              </w:rPr>
              <w:t>批发业”/“零售业</w:t>
            </w: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w:t>
            </w:r>
            <w:r>
              <w:rPr>
                <w:rFonts w:hint="eastAsia" w:ascii="仿宋_GB2312" w:hAnsi="仿宋_GB2312" w:eastAsia="仿宋_GB2312" w:cs="仿宋_GB2312"/>
                <w:i w:val="0"/>
                <w:iCs w:val="0"/>
                <w:caps w:val="0"/>
                <w:color w:val="auto"/>
                <w:spacing w:val="0"/>
                <w:sz w:val="24"/>
                <w:szCs w:val="24"/>
                <w:highlight w:val="none"/>
                <w:shd w:val="clear" w:fill="FFFFFF"/>
              </w:rPr>
              <w:t>，根据《工业和信息化部 统计局 发展改革委 财政部关于印发中小企业划型标准规定的通知》（工信部联企业〔2011〕300号）规定：</w:t>
            </w:r>
          </w:p>
          <w:p w14:paraId="79255233">
            <w:pPr>
              <w:keepNext w:val="0"/>
              <w:keepLines w:val="0"/>
              <w:pageBreakBefore w:val="0"/>
              <w:widowControl/>
              <w:kinsoku/>
              <w:wordWrap/>
              <w:overflowPunct/>
              <w:topLinePunct w:val="0"/>
              <w:autoSpaceDE/>
              <w:autoSpaceDN/>
              <w:bidi w:val="0"/>
              <w:adjustRightInd/>
              <w:snapToGrid w:val="0"/>
              <w:spacing w:line="360" w:lineRule="auto"/>
              <w:ind w:firstLine="480" w:firstLineChars="200"/>
              <w:textAlignment w:val="auto"/>
              <w:rPr>
                <w:rFonts w:hint="eastAsia" w:ascii="仿宋_GB2312" w:hAnsi="仿宋_GB2312" w:eastAsia="仿宋_GB2312" w:cs="仿宋_GB2312"/>
                <w:i w:val="0"/>
                <w:iCs w:val="0"/>
                <w:caps w:val="0"/>
                <w:color w:val="auto"/>
                <w:spacing w:val="0"/>
                <w:sz w:val="24"/>
                <w:szCs w:val="24"/>
                <w:highlight w:val="none"/>
                <w:shd w:val="clear" w:fill="FFFFFF"/>
              </w:rPr>
            </w:pP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工</w:t>
            </w:r>
            <w:r>
              <w:rPr>
                <w:rFonts w:hint="eastAsia" w:ascii="仿宋_GB2312" w:hAnsi="仿宋_GB2312" w:eastAsia="仿宋_GB2312" w:cs="仿宋_GB2312"/>
                <w:b/>
                <w:bCs/>
                <w:i w:val="0"/>
                <w:iCs w:val="0"/>
                <w:caps w:val="0"/>
                <w:color w:val="auto"/>
                <w:spacing w:val="0"/>
                <w:sz w:val="24"/>
                <w:szCs w:val="24"/>
                <w:highlight w:val="none"/>
                <w:shd w:val="clear" w:fill="FFFFFF"/>
              </w:rPr>
              <w:t>业</w:t>
            </w:r>
            <w:r>
              <w:rPr>
                <w:rFonts w:hint="eastAsia" w:ascii="仿宋_GB2312" w:hAnsi="仿宋_GB2312" w:eastAsia="仿宋_GB2312" w:cs="仿宋_GB2312"/>
                <w:i w:val="0"/>
                <w:iCs w:val="0"/>
                <w:caps w:val="0"/>
                <w:color w:val="auto"/>
                <w:spacing w:val="0"/>
                <w:sz w:val="24"/>
                <w:szCs w:val="24"/>
                <w:highlight w:val="none"/>
                <w:shd w:val="clear" w:fill="FFFFFF"/>
                <w:lang w:eastAsia="zh-CN"/>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0393A94">
            <w:pPr>
              <w:pStyle w:val="23"/>
              <w:rPr>
                <w:rFonts w:hint="eastAsia" w:ascii="仿宋_GB2312" w:hAnsi="仿宋_GB2312" w:eastAsia="仿宋_GB2312" w:cs="仿宋_GB2312"/>
                <w:b w:val="0"/>
                <w:bCs w:val="0"/>
                <w:i w:val="0"/>
                <w:iCs w:val="0"/>
                <w:caps w:val="0"/>
                <w:color w:val="auto"/>
                <w:spacing w:val="0"/>
                <w:kern w:val="2"/>
                <w:sz w:val="24"/>
                <w:szCs w:val="24"/>
                <w:highlight w:val="none"/>
                <w:shd w:val="clear" w:fill="FFFFFF"/>
                <w:lang w:val="en-US" w:eastAsia="zh-CN" w:bidi="ar-SA"/>
              </w:rPr>
            </w:pPr>
            <w:r>
              <w:rPr>
                <w:rFonts w:hint="eastAsia" w:ascii="仿宋_GB2312" w:hAnsi="仿宋_GB2312" w:eastAsia="仿宋_GB2312" w:cs="仿宋_GB2312"/>
                <w:b/>
                <w:bCs/>
                <w:i w:val="0"/>
                <w:iCs w:val="0"/>
                <w:caps w:val="0"/>
                <w:color w:val="auto"/>
                <w:spacing w:val="0"/>
                <w:sz w:val="24"/>
                <w:szCs w:val="24"/>
                <w:highlight w:val="none"/>
                <w:shd w:val="clear" w:fill="FFFFFF"/>
                <w:lang w:val="en-US" w:eastAsia="zh-CN"/>
              </w:rPr>
              <w:t>软件和信息技术服务业：</w:t>
            </w:r>
            <w:r>
              <w:rPr>
                <w:rFonts w:hint="eastAsia" w:ascii="仿宋_GB2312" w:hAnsi="仿宋_GB2312" w:eastAsia="仿宋_GB2312" w:cs="仿宋_GB2312"/>
                <w:b w:val="0"/>
                <w:bCs w:val="0"/>
                <w:i w:val="0"/>
                <w:iCs w:val="0"/>
                <w:caps w:val="0"/>
                <w:color w:val="auto"/>
                <w:spacing w:val="0"/>
                <w:kern w:val="2"/>
                <w:sz w:val="24"/>
                <w:szCs w:val="24"/>
                <w:highlight w:val="none"/>
                <w:shd w:val="clear" w:fill="FFFFFF"/>
                <w:lang w:val="en-US" w:eastAsia="zh-CN" w:bidi="ar-SA"/>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1FADB9D2">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ascii="仿宋_GB2312" w:hAnsi="仿宋_GB2312" w:eastAsia="仿宋_GB2312" w:cs="仿宋_GB2312"/>
                <w:i w:val="0"/>
                <w:iCs w:val="0"/>
                <w:caps w:val="0"/>
                <w:color w:val="auto"/>
                <w:spacing w:val="0"/>
                <w:sz w:val="24"/>
                <w:szCs w:val="24"/>
                <w:highlight w:val="none"/>
                <w:shd w:val="clear" w:fill="FFFFFF"/>
              </w:rPr>
            </w:pPr>
            <w:r>
              <w:rPr>
                <w:rFonts w:hint="eastAsia" w:ascii="仿宋_GB2312" w:hAnsi="仿宋_GB2312" w:eastAsia="仿宋_GB2312" w:cs="仿宋_GB2312"/>
                <w:b/>
                <w:bCs/>
                <w:i w:val="0"/>
                <w:iCs w:val="0"/>
                <w:caps w:val="0"/>
                <w:color w:val="auto"/>
                <w:spacing w:val="0"/>
                <w:sz w:val="24"/>
                <w:szCs w:val="24"/>
                <w:highlight w:val="none"/>
                <w:shd w:val="clear" w:fill="FFFFFF"/>
              </w:rPr>
              <w:t>批发业</w:t>
            </w:r>
            <w:r>
              <w:rPr>
                <w:rFonts w:hint="eastAsia" w:ascii="仿宋_GB2312" w:hAnsi="仿宋_GB2312" w:eastAsia="仿宋_GB2312" w:cs="仿宋_GB2312"/>
                <w:i w:val="0"/>
                <w:iCs w:val="0"/>
                <w:caps w:val="0"/>
                <w:color w:val="auto"/>
                <w:spacing w:val="0"/>
                <w:sz w:val="24"/>
                <w:szCs w:val="24"/>
                <w:highlight w:val="none"/>
                <w:shd w:val="clear" w:fill="FFFFFF"/>
                <w:lang w:eastAsia="zh-CN"/>
              </w:rPr>
              <w:t>：</w:t>
            </w:r>
            <w:r>
              <w:rPr>
                <w:rFonts w:hint="eastAsia" w:ascii="仿宋_GB2312" w:hAnsi="仿宋_GB2312" w:eastAsia="仿宋_GB2312" w:cs="仿宋_GB2312"/>
                <w:i w:val="0"/>
                <w:iCs w:val="0"/>
                <w:caps w:val="0"/>
                <w:color w:val="auto"/>
                <w:spacing w:val="0"/>
                <w:sz w:val="24"/>
                <w:szCs w:val="24"/>
                <w:highlight w:val="none"/>
                <w:shd w:val="clear" w:fill="FFFFFF"/>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F494DBD">
            <w:pPr>
              <w:pStyle w:val="23"/>
              <w:rPr>
                <w:rFonts w:hint="eastAsia" w:ascii="仿宋_GB2312" w:hAnsi="仿宋_GB2312" w:eastAsia="仿宋_GB2312" w:cs="仿宋_GB2312"/>
                <w:b w:val="0"/>
                <w:bCs w:val="0"/>
                <w:i w:val="0"/>
                <w:iCs w:val="0"/>
                <w:caps w:val="0"/>
                <w:color w:val="auto"/>
                <w:spacing w:val="0"/>
                <w:kern w:val="2"/>
                <w:sz w:val="24"/>
                <w:szCs w:val="24"/>
                <w:highlight w:val="none"/>
                <w:shd w:val="clear" w:fill="FFFFFF"/>
                <w:lang w:val="en-US" w:eastAsia="zh-CN" w:bidi="ar-SA"/>
              </w:rPr>
            </w:pPr>
            <w:r>
              <w:rPr>
                <w:rFonts w:hint="eastAsia" w:ascii="仿宋_GB2312" w:hAnsi="仿宋_GB2312" w:eastAsia="仿宋_GB2312" w:cs="仿宋_GB2312"/>
                <w:b/>
                <w:bCs/>
                <w:i w:val="0"/>
                <w:iCs w:val="0"/>
                <w:caps w:val="0"/>
                <w:color w:val="auto"/>
                <w:spacing w:val="0"/>
                <w:sz w:val="24"/>
                <w:szCs w:val="24"/>
                <w:highlight w:val="none"/>
                <w:shd w:val="clear" w:fill="FFFFFF"/>
              </w:rPr>
              <w:t>零售业</w:t>
            </w:r>
            <w:r>
              <w:rPr>
                <w:rFonts w:hint="eastAsia" w:ascii="仿宋_GB2312" w:hAnsi="仿宋_GB2312" w:eastAsia="仿宋_GB2312" w:cs="仿宋_GB2312"/>
                <w:i w:val="0"/>
                <w:iCs w:val="0"/>
                <w:caps w:val="0"/>
                <w:color w:val="auto"/>
                <w:spacing w:val="0"/>
                <w:sz w:val="24"/>
                <w:szCs w:val="24"/>
                <w:highlight w:val="none"/>
                <w:shd w:val="clear" w:fill="FFFFFF"/>
                <w:lang w:eastAsia="zh-CN"/>
              </w:rPr>
              <w:t>：</w:t>
            </w:r>
            <w:r>
              <w:rPr>
                <w:rFonts w:hint="eastAsia" w:ascii="仿宋_GB2312" w:hAnsi="仿宋_GB2312" w:eastAsia="仿宋_GB2312" w:cs="仿宋_GB2312"/>
                <w:i w:val="0"/>
                <w:iCs w:val="0"/>
                <w:caps w:val="0"/>
                <w:color w:val="auto"/>
                <w:spacing w:val="0"/>
                <w:sz w:val="24"/>
                <w:szCs w:val="24"/>
                <w:highlight w:val="none"/>
                <w:shd w:val="clear" w:fill="FFFFFF"/>
              </w:rPr>
              <w:t>从业人员300人以下或营业收入20000万元以下的为中小微型企 业。其中，从业人员50人及以上，且营业收入500万元及以上的为中型企业；从业人 员10人及以上，且营业收入100万元及以上的为小型企业；从业人员10人以下或营业收入100万元以下的为微型企业。</w:t>
            </w:r>
          </w:p>
        </w:tc>
      </w:tr>
      <w:tr w14:paraId="6D1F9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959" w:type="dxa"/>
            <w:vAlign w:val="center"/>
          </w:tcPr>
          <w:p w14:paraId="79F969EB">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补充</w:t>
            </w:r>
          </w:p>
          <w:p w14:paraId="2888397E">
            <w:pPr>
              <w:widowControl/>
              <w:snapToGrid w:val="0"/>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说明3</w:t>
            </w:r>
          </w:p>
        </w:tc>
        <w:tc>
          <w:tcPr>
            <w:tcW w:w="1762" w:type="dxa"/>
            <w:vAlign w:val="center"/>
          </w:tcPr>
          <w:p w14:paraId="2B0083C8">
            <w:pPr>
              <w:spacing w:line="360" w:lineRule="auto"/>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计分原则</w:t>
            </w:r>
          </w:p>
        </w:tc>
        <w:tc>
          <w:tcPr>
            <w:tcW w:w="6068" w:type="dxa"/>
            <w:vAlign w:val="center"/>
          </w:tcPr>
          <w:p w14:paraId="4BF3666B">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rPr>
                <w:rFonts w:ascii="仿宋_GB2312" w:hAnsi="仿宋" w:eastAsia="仿宋_GB2312"/>
                <w:color w:val="auto"/>
                <w:kern w:val="0"/>
                <w:sz w:val="24"/>
                <w:highlight w:val="none"/>
              </w:rPr>
            </w:pPr>
            <w:r>
              <w:rPr>
                <w:rFonts w:hint="eastAsia" w:ascii="仿宋_GB2312" w:hAnsi="仿宋" w:eastAsia="仿宋_GB2312"/>
                <w:color w:val="auto"/>
                <w:kern w:val="0"/>
                <w:sz w:val="24"/>
                <w:highlight w:val="none"/>
              </w:rPr>
              <w:t>评标委员会依照评标方法对每个有效投标文件进行打分。所有评标委员打分的算术平均值为投标人的最终得分（得分按四舍五入方式保留小数点后二位）。</w:t>
            </w:r>
          </w:p>
        </w:tc>
      </w:tr>
    </w:tbl>
    <w:p w14:paraId="7FC22F81">
      <w:pPr>
        <w:rPr>
          <w:rFonts w:ascii="仿宋_GB2312" w:hAnsi="仿宋" w:eastAsia="仿宋_GB2312" w:cs="仿宋_GB2312"/>
          <w:color w:val="auto"/>
          <w:highlight w:val="none"/>
        </w:rPr>
      </w:pPr>
      <w:r>
        <w:rPr>
          <w:rFonts w:hint="eastAsia" w:ascii="仿宋_GB2312" w:hAnsi="仿宋_GB2312" w:eastAsia="仿宋_GB2312" w:cs="仿宋_GB2312"/>
          <w:color w:val="auto"/>
          <w:sz w:val="24"/>
          <w:highlight w:val="none"/>
        </w:rPr>
        <w:t>注：表格中“</w:t>
      </w:r>
      <w:r>
        <w:rPr>
          <w:rFonts w:hint="eastAsia" w:ascii="仿宋_GB2312" w:hAnsi="仿宋_GB2312" w:eastAsia="仿宋_GB2312" w:cs="仿宋_GB2312"/>
          <w:color w:val="auto"/>
          <w:sz w:val="24"/>
          <w:highlight w:val="none"/>
        </w:rPr>
        <w:sym w:font="Wingdings 2" w:char="0052"/>
      </w:r>
      <w:r>
        <w:rPr>
          <w:rFonts w:hint="eastAsia" w:ascii="仿宋_GB2312" w:hAnsi="仿宋_GB2312" w:eastAsia="仿宋_GB2312" w:cs="仿宋_GB2312"/>
          <w:color w:val="auto"/>
          <w:sz w:val="24"/>
          <w:highlight w:val="none"/>
        </w:rPr>
        <w:t>”项或“■”项为被选中项。</w:t>
      </w:r>
    </w:p>
    <w:p w14:paraId="10B449BF">
      <w:pPr>
        <w:pStyle w:val="3"/>
        <w:adjustRightInd w:val="0"/>
        <w:snapToGrid w:val="0"/>
        <w:spacing w:before="0" w:after="0" w:line="360" w:lineRule="auto"/>
        <w:rPr>
          <w:rFonts w:ascii="仿宋_GB2312" w:hAnsi="仿宋" w:eastAsia="仿宋_GB2312" w:cs="仿宋_GB2312"/>
          <w:color w:val="auto"/>
          <w:sz w:val="32"/>
          <w:szCs w:val="36"/>
          <w:highlight w:val="none"/>
        </w:rPr>
      </w:pPr>
      <w:r>
        <w:rPr>
          <w:rFonts w:hint="eastAsia" w:ascii="仿宋_GB2312" w:hAnsi="仿宋" w:eastAsia="仿宋_GB2312" w:cs="仿宋_GB2312"/>
          <w:color w:val="auto"/>
          <w:sz w:val="21"/>
          <w:szCs w:val="21"/>
          <w:highlight w:val="none"/>
        </w:rPr>
        <w:br w:type="page"/>
      </w:r>
      <w:bookmarkStart w:id="40" w:name="_Toc30384_WPSOffice_Level2"/>
      <w:r>
        <w:rPr>
          <w:rFonts w:hint="eastAsia" w:ascii="仿宋_GB2312" w:hAnsi="仿宋" w:eastAsia="仿宋_GB2312" w:cs="仿宋_GB2312"/>
          <w:color w:val="auto"/>
          <w:sz w:val="32"/>
          <w:szCs w:val="36"/>
          <w:highlight w:val="none"/>
        </w:rPr>
        <w:t>二 总则</w:t>
      </w:r>
      <w:bookmarkEnd w:id="40"/>
    </w:p>
    <w:p w14:paraId="1601E928">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1.采购人、采购组织机构及投标人</w:t>
      </w:r>
    </w:p>
    <w:p w14:paraId="25EC8CD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1.1采购人：是指依法进行政府采购的国家机关、事业单位、团体组织。本项目采购人见投标人须知表1.1款。</w:t>
      </w:r>
    </w:p>
    <w:p w14:paraId="500C2ECD">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1.2采购组织机构：是指集中采购机构或从事采购代理业务的社会中介机构，本项目的采购组织机构见投标人须知表1.2款。</w:t>
      </w:r>
    </w:p>
    <w:p w14:paraId="3335A2D0">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★1.3投标人：是指向采购人提供货物、工程或者服务的法人、非法人组织或者自然人。本项目的投标人及其投标货物须满足以下条件：</w:t>
      </w:r>
    </w:p>
    <w:p w14:paraId="507A590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1.3.1在中华人民共和国境内注册，能够独立承担民事责任，有生产或供应能力的本国投标人。</w:t>
      </w:r>
    </w:p>
    <w:p w14:paraId="43DFE85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1.3.2符合《中华人民共和国政府采购法》第二十二条关于供应商条件的规定，遵守本项目采购人本级和上级财政部门关于政府采购的有关规定。</w:t>
      </w:r>
    </w:p>
    <w:p w14:paraId="75712149">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1.3.3以采购组织机构认可的方式获得了本项目的招标文件。</w:t>
      </w:r>
    </w:p>
    <w:p w14:paraId="30E6D46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1.3.4符合投标人须知表1.3.4款中规定的资格条件。</w:t>
      </w:r>
    </w:p>
    <w:p w14:paraId="747790B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14:paraId="549F016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若投标人须知表1.3.5款中未写明允许采购进口产品，如投标人所投产品为进口产品，其投标将被认定为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228F4AF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1.3.6若投标人须知表1.3.6款中写明专门面向中小企业采购的，如投标人为非中小企业且所投产品为非中小企业产品，其投标将被认定为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537DDFC2">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1.3.7若投标人须知表1.3.7款中写明采购的产品属于实施政府强制采购范围的节能产品，如投标人所投产品不具备依据国家确定的认证机构出具的、处于有效期之内的节能产品认证证书，其投标将被认定为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3A1F9F93">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★1.4如投标人须知表1.4款中允许联合体投标，对联合体规定如下：</w:t>
      </w:r>
    </w:p>
    <w:p w14:paraId="2E2B90C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1.4.1两个以上投标人可以组成一个投标联合体，以一个投标人的身份投标。</w:t>
      </w:r>
    </w:p>
    <w:p w14:paraId="6070765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1.4.2联合体各方均应符合《中华人民共和国政府采购法》第二十二条规定的条件。</w:t>
      </w:r>
    </w:p>
    <w:p w14:paraId="3246D01A">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1.4.3采购人根据采购项目对投标人的特殊要求，联合体中至少应当有一方符合相关规定。</w:t>
      </w:r>
    </w:p>
    <w:p w14:paraId="3B4179B6">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1.4.4联合体各方应签订共同投标协议，明确约定联合体各方承担的工作和相应的责任。</w:t>
      </w:r>
    </w:p>
    <w:p w14:paraId="1E104A5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1.4.5大中型企业、其他自然人、法人或者非法人组织与小型、微型企业组成联合体共同参加投标，共同投标协议中应写明小型、微型企业的协议合同金额占到共同投标协议投标总金额的比例。</w:t>
      </w:r>
    </w:p>
    <w:p w14:paraId="3DF34A2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1.4.6联合体中有同类资质的投标人按照联合体分工承担相同工作的，按照较低的资质等级确定联合体的资质等级。</w:t>
      </w:r>
    </w:p>
    <w:p w14:paraId="2C67F2E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1.4.7以联合体形式参加政府采购活动的，联合体各方不得再单独参加或者与其他投标人另外组成联合体参加本项目投标，否则相关投标将被认定为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7251B0B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（1）两个以上的自然人、法人或者其他组织可以组成一个联合体，以一个投标人的身份共同参加政府采购活动。</w:t>
      </w:r>
    </w:p>
    <w:p w14:paraId="65186C1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（2）联合体中标的，联合体各方应共同与采购人签订采购合同，就采购合同约定的事项对采购人承担连带责任。</w:t>
      </w:r>
    </w:p>
    <w:p w14:paraId="4067FAC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1.4.8对联合体投标的其他资格要求见投标人须知表1.4.8款。</w:t>
      </w:r>
    </w:p>
    <w:p w14:paraId="615DABB5">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★1.5单位负责人为同一人或者存在直接控股、管理关系的不同供应商，其相关投标将被认定为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606880D3">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★1.6为本项目提供过整体设计、规范编制或者项目管理、监理、检测等服务的供应商，不得再参加本项目上述服务以外的其他采购活动，否则其投标将被认定为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13389066">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★1.7投标人在投标过程中不得向采购人提供、给予任何有价值的物品，影响其正常决策行为。一经发现，其将被认定为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59B64076">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2.资金来源</w:t>
      </w:r>
    </w:p>
    <w:p w14:paraId="3B905A26">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2.1本项目的采购人已获得足以支付本次招标后所签订的合同项下的资金（包括财政性资金和本项目采购中无法与财政性资金分割的非财政性资金）。</w:t>
      </w:r>
    </w:p>
    <w:p w14:paraId="54896E0C">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b/>
          <w:bCs/>
          <w:color w:val="auto"/>
          <w:sz w:val="24"/>
          <w:highlight w:val="none"/>
        </w:rPr>
        <w:t>★</w:t>
      </w:r>
      <w:r>
        <w:rPr>
          <w:rFonts w:hint="eastAsia" w:ascii="仿宋_GB2312" w:hAnsi="仿宋" w:eastAsia="仿宋_GB2312" w:cs="仿宋_GB2312"/>
          <w:color w:val="auto"/>
          <w:sz w:val="24"/>
          <w:highlight w:val="none"/>
        </w:rPr>
        <w:t>2.2项目预算金额和分项或分包最高限价见投标人须知表2.2款。</w:t>
      </w:r>
    </w:p>
    <w:p w14:paraId="453A55B8">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b/>
          <w:bCs/>
          <w:color w:val="auto"/>
          <w:sz w:val="24"/>
          <w:highlight w:val="none"/>
        </w:rPr>
        <w:t>★</w:t>
      </w:r>
      <w:r>
        <w:rPr>
          <w:rFonts w:hint="eastAsia" w:ascii="仿宋_GB2312" w:hAnsi="仿宋" w:eastAsia="仿宋_GB2312" w:cs="仿宋_GB2312"/>
          <w:color w:val="auto"/>
          <w:sz w:val="24"/>
          <w:highlight w:val="none"/>
        </w:rPr>
        <w:t>2.3投标人报价超过招标文件规定的预算金额或者分项、分包最高限价的，其投标将被认定为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389F4E7A">
      <w:pPr>
        <w:adjustRightInd w:val="0"/>
        <w:snapToGrid w:val="0"/>
        <w:spacing w:line="360" w:lineRule="auto"/>
        <w:ind w:firstLine="480" w:firstLineChars="200"/>
        <w:rPr>
          <w:rFonts w:ascii="仿宋_GB2312" w:hAnsi="仿宋" w:eastAsia="仿宋_GB2312" w:cs="仿宋_GB2312"/>
          <w:b/>
          <w:bCs/>
          <w:color w:val="auto"/>
          <w:sz w:val="24"/>
          <w:highlight w:val="none"/>
        </w:rPr>
      </w:pPr>
      <w:bookmarkStart w:id="41" w:name="_Toc266951048"/>
      <w:r>
        <w:rPr>
          <w:rFonts w:hint="eastAsia" w:ascii="仿宋_GB2312" w:hAnsi="仿宋" w:eastAsia="仿宋_GB2312" w:cs="仿宋_GB2312"/>
          <w:b/>
          <w:bCs/>
          <w:color w:val="auto"/>
          <w:sz w:val="24"/>
          <w:highlight w:val="none"/>
        </w:rPr>
        <w:t>3.语言文字</w:t>
      </w:r>
      <w:bookmarkEnd w:id="41"/>
    </w:p>
    <w:p w14:paraId="6E09E87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除专用术语外，与投标有关的语言均使用中文。必要时专用术语应附有中文注释。对不同文字文本投标文件的解释发生异议的，以中文文本为准。</w:t>
      </w:r>
    </w:p>
    <w:p w14:paraId="0C3A2546">
      <w:pPr>
        <w:adjustRightInd w:val="0"/>
        <w:snapToGrid w:val="0"/>
        <w:spacing w:line="360" w:lineRule="auto"/>
        <w:ind w:firstLine="240" w:firstLineChars="100"/>
        <w:rPr>
          <w:rFonts w:ascii="仿宋_GB2312" w:hAnsi="仿宋" w:eastAsia="仿宋_GB2312" w:cs="仿宋_GB2312"/>
          <w:b/>
          <w:bCs/>
          <w:color w:val="auto"/>
          <w:sz w:val="24"/>
          <w:highlight w:val="none"/>
        </w:rPr>
      </w:pPr>
      <w:bookmarkStart w:id="42" w:name="_1.8_计量单位"/>
      <w:bookmarkEnd w:id="42"/>
      <w:bookmarkStart w:id="43" w:name="_Toc266951049"/>
      <w:r>
        <w:rPr>
          <w:rFonts w:hint="eastAsia" w:ascii="仿宋_GB2312" w:hAnsi="仿宋" w:eastAsia="仿宋_GB2312" w:cs="仿宋_GB2312"/>
          <w:b/>
          <w:bCs/>
          <w:color w:val="auto"/>
          <w:sz w:val="24"/>
          <w:highlight w:val="none"/>
        </w:rPr>
        <w:t>★4.计量单位</w:t>
      </w:r>
      <w:bookmarkEnd w:id="43"/>
    </w:p>
    <w:p w14:paraId="79D7DFDB">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除投标人须知表4款中有特殊要求外，投标文件中所使用的计量单位，应采用中华人民共和国法定计量单位。</w:t>
      </w:r>
    </w:p>
    <w:p w14:paraId="7AFFEA7F">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★5.投标费用</w:t>
      </w:r>
    </w:p>
    <w:p w14:paraId="78A8B79D">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不论投标的结果如何，投标人应承担所有与投标有关的费用。</w:t>
      </w:r>
    </w:p>
    <w:p w14:paraId="3217E657">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6.现场考察、开标前答疑会（本项目不适用）</w:t>
      </w:r>
    </w:p>
    <w:p w14:paraId="0925B8E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6.1</w:t>
      </w:r>
      <w:r>
        <w:rPr>
          <w:color w:val="auto"/>
          <w:highlight w:val="none"/>
        </w:rPr>
        <w:fldChar w:fldCharType="begin"/>
      </w:r>
      <w:r>
        <w:rPr>
          <w:color w:val="auto"/>
          <w:highlight w:val="none"/>
        </w:rPr>
        <w:instrText xml:space="preserve"> HYPERLINK \l "_踏勘现场" </w:instrText>
      </w:r>
      <w:r>
        <w:rPr>
          <w:color w:val="auto"/>
          <w:highlight w:val="none"/>
        </w:rPr>
        <w:fldChar w:fldCharType="separate"/>
      </w:r>
      <w:r>
        <w:rPr>
          <w:rFonts w:hint="eastAsia" w:ascii="仿宋_GB2312" w:hAnsi="仿宋" w:eastAsia="仿宋_GB2312" w:cs="仿宋_GB2312"/>
          <w:color w:val="auto"/>
          <w:sz w:val="24"/>
          <w:highlight w:val="none"/>
        </w:rPr>
        <w:t>投标人须知表</w:t>
      </w:r>
      <w:r>
        <w:rPr>
          <w:rFonts w:hint="eastAsia" w:ascii="仿宋_GB2312" w:hAnsi="仿宋" w:eastAsia="仿宋_GB2312" w:cs="仿宋_GB2312"/>
          <w:color w:val="auto"/>
          <w:sz w:val="24"/>
          <w:highlight w:val="none"/>
        </w:rPr>
        <w:fldChar w:fldCharType="end"/>
      </w:r>
      <w:r>
        <w:rPr>
          <w:rFonts w:hint="eastAsia" w:ascii="仿宋_GB2312" w:hAnsi="仿宋" w:eastAsia="仿宋_GB2312" w:cs="仿宋_GB2312"/>
          <w:color w:val="auto"/>
          <w:sz w:val="24"/>
          <w:highlight w:val="none"/>
        </w:rPr>
        <w:t>6.1款规定组织现场考察或开标前答疑会的，采购人按规定的时间、地点组织投标人现场考察或开标前答疑会，或者在领取招标文件期限截止后以书面形式通知所有获取招标文件的潜在投标人。</w:t>
      </w:r>
    </w:p>
    <w:p w14:paraId="6E3B4997">
      <w:pPr>
        <w:adjustRightInd w:val="0"/>
        <w:snapToGrid w:val="0"/>
        <w:spacing w:line="360" w:lineRule="auto"/>
        <w:ind w:firstLine="480" w:firstLineChars="200"/>
        <w:rPr>
          <w:rFonts w:ascii="仿宋_GB2312" w:hAnsi="仿宋" w:eastAsia="仿宋_GB2312" w:cs="仿宋_GB2312"/>
          <w:b/>
          <w:bCs/>
          <w:color w:val="auto"/>
          <w:sz w:val="24"/>
          <w:highlight w:val="none"/>
        </w:rPr>
      </w:pPr>
      <w:bookmarkStart w:id="44" w:name="_1.10_投标预备会"/>
      <w:bookmarkEnd w:id="44"/>
      <w:r>
        <w:rPr>
          <w:rFonts w:hint="eastAsia" w:ascii="仿宋_GB2312" w:hAnsi="仿宋" w:eastAsia="仿宋_GB2312" w:cs="仿宋_GB2312"/>
          <w:color w:val="auto"/>
          <w:sz w:val="24"/>
          <w:highlight w:val="none"/>
        </w:rPr>
        <w:t>6.2</w:t>
      </w:r>
      <w:r>
        <w:rPr>
          <w:rFonts w:hint="eastAsia" w:ascii="仿宋_GB2312" w:hAnsi="仿宋" w:eastAsia="仿宋_GB2312" w:cs="仿宋_GB2312"/>
          <w:color w:val="auto"/>
          <w:kern w:val="0"/>
          <w:sz w:val="24"/>
          <w:highlight w:val="none"/>
        </w:rPr>
        <w:t>由于未参加现场考察或标前答疑而导致对项目实际情况不了解，影响技术文件编制、</w:t>
      </w:r>
      <w:r>
        <w:rPr>
          <w:color w:val="auto"/>
          <w:highlight w:val="none"/>
        </w:rPr>
        <w:fldChar w:fldCharType="begin"/>
      </w:r>
      <w:r>
        <w:rPr>
          <w:color w:val="auto"/>
          <w:highlight w:val="none"/>
        </w:rPr>
        <w:instrText xml:space="preserve"> HYPERLINK "https://www.baidu.com/s?wd=%E6%8A%95%E6%A0%87%E6%8A%A5%E4%BB%B7&amp;tn=44039180_cpr&amp;fenlei=mv6quAkxTZn0IZRqIHckPjm4nH00T1dWuyfdP1u9uyPBrjKhmvDv0ZwV5Hcvrjm3rH6sPfKWUMw85HfYnjn4nH6sgvPsT6KdThsqpZwYTjCEQLGCpyw9Uz4Bmy-bIi4WUvYETgN-TLwGUv3EPj63P1RkPH6Y" \t "_blank" </w:instrText>
      </w:r>
      <w:r>
        <w:rPr>
          <w:color w:val="auto"/>
          <w:highlight w:val="none"/>
        </w:rPr>
        <w:fldChar w:fldCharType="separate"/>
      </w:r>
      <w:r>
        <w:rPr>
          <w:rFonts w:hint="eastAsia" w:ascii="仿宋_GB2312" w:hAnsi="仿宋" w:eastAsia="仿宋_GB2312" w:cs="仿宋_GB2312"/>
          <w:color w:val="auto"/>
          <w:kern w:val="0"/>
          <w:sz w:val="24"/>
          <w:highlight w:val="none"/>
        </w:rPr>
        <w:t>投标报价</w:t>
      </w:r>
      <w:r>
        <w:rPr>
          <w:rFonts w:hint="eastAsia" w:ascii="仿宋_GB2312" w:hAnsi="仿宋" w:eastAsia="仿宋_GB2312" w:cs="仿宋_GB2312"/>
          <w:color w:val="auto"/>
          <w:kern w:val="0"/>
          <w:sz w:val="24"/>
          <w:highlight w:val="none"/>
        </w:rPr>
        <w:fldChar w:fldCharType="end"/>
      </w:r>
      <w:r>
        <w:rPr>
          <w:rFonts w:hint="eastAsia" w:ascii="仿宋_GB2312" w:hAnsi="仿宋" w:eastAsia="仿宋_GB2312" w:cs="仿宋_GB2312"/>
          <w:color w:val="auto"/>
          <w:kern w:val="0"/>
          <w:sz w:val="24"/>
          <w:highlight w:val="none"/>
        </w:rPr>
        <w:t>准确性、综合因素响应不全面等问题的，由投标人自行承担相应后果。</w:t>
      </w:r>
    </w:p>
    <w:p w14:paraId="2524278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6.3现场考察及参加标前答疑会所发生的费用及一切责任由投标人自行承担。</w:t>
      </w:r>
    </w:p>
    <w:p w14:paraId="01D40247">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7.适用法律</w:t>
      </w:r>
    </w:p>
    <w:p w14:paraId="1E8F937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的采购人、采购组织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14:paraId="1E7BE91F">
      <w:pPr>
        <w:pStyle w:val="3"/>
        <w:rPr>
          <w:rFonts w:ascii="仿宋_GB2312" w:hAnsi="仿宋" w:eastAsia="仿宋_GB2312" w:cs="仿宋_GB2312"/>
          <w:color w:val="auto"/>
          <w:sz w:val="32"/>
          <w:szCs w:val="28"/>
          <w:highlight w:val="none"/>
        </w:rPr>
      </w:pPr>
      <w:bookmarkStart w:id="45" w:name="_Toc10106_WPSOffice_Level2"/>
      <w:r>
        <w:rPr>
          <w:rFonts w:hint="eastAsia" w:ascii="仿宋_GB2312" w:hAnsi="仿宋" w:eastAsia="仿宋_GB2312" w:cs="仿宋_GB2312"/>
          <w:color w:val="auto"/>
          <w:sz w:val="32"/>
          <w:szCs w:val="28"/>
          <w:highlight w:val="none"/>
        </w:rPr>
        <w:t>三 招标文件</w:t>
      </w:r>
      <w:bookmarkEnd w:id="45"/>
    </w:p>
    <w:p w14:paraId="2B1290AD">
      <w:pPr>
        <w:tabs>
          <w:tab w:val="left" w:pos="312"/>
        </w:tabs>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8.招标文件构成</w:t>
      </w:r>
    </w:p>
    <w:p w14:paraId="3C1404E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r>
        <w:rPr>
          <w:rFonts w:ascii="仿宋_GB2312" w:hAnsi="仿宋" w:eastAsia="仿宋_GB2312" w:cs="仿宋_GB2312"/>
          <w:color w:val="auto"/>
          <w:sz w:val="24"/>
          <w:highlight w:val="none"/>
        </w:rPr>
        <w:t>.1</w:t>
      </w:r>
      <w:r>
        <w:rPr>
          <w:rFonts w:hint="eastAsia" w:ascii="仿宋_GB2312" w:hAnsi="仿宋" w:eastAsia="仿宋_GB2312" w:cs="仿宋_GB2312"/>
          <w:color w:val="auto"/>
          <w:sz w:val="24"/>
          <w:highlight w:val="none"/>
        </w:rPr>
        <w:t>招标文件内容如下:</w:t>
      </w:r>
    </w:p>
    <w:p w14:paraId="555EFC92">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招标</w:t>
      </w:r>
      <w:r>
        <w:rPr>
          <w:rFonts w:hint="eastAsia" w:ascii="仿宋_GB2312" w:hAnsi="仿宋" w:eastAsia="仿宋_GB2312" w:cs="仿宋_GB2312"/>
          <w:color w:val="auto"/>
          <w:sz w:val="24"/>
          <w:highlight w:val="none"/>
        </w:rPr>
        <w:t>公告</w:t>
      </w:r>
    </w:p>
    <w:p w14:paraId="70AAA31E">
      <w:pPr>
        <w:adjustRightInd w:val="0"/>
        <w:snapToGrid w:val="0"/>
        <w:spacing w:line="360" w:lineRule="auto"/>
        <w:ind w:firstLine="480" w:firstLineChars="200"/>
        <w:rPr>
          <w:rFonts w:ascii="仿宋_GB2312" w:hAnsi="仿宋" w:eastAsia="仿宋_GB2312" w:cs="仿宋_GB2312"/>
          <w:color w:val="auto"/>
          <w:sz w:val="24"/>
          <w:highlight w:val="none"/>
        </w:rPr>
      </w:pPr>
      <w:bookmarkStart w:id="46" w:name="_Toc25935_WPSOffice_Level2"/>
      <w:bookmarkStart w:id="47" w:name="_Toc4961_WPSOffice_Level2"/>
      <w:bookmarkStart w:id="48" w:name="_Toc24604_WPSOffice_Level2"/>
      <w:bookmarkStart w:id="49" w:name="_Toc188_WPSOffice_Level2"/>
      <w:r>
        <w:rPr>
          <w:rFonts w:hint="eastAsia" w:ascii="仿宋_GB2312" w:hAnsi="仿宋" w:eastAsia="仿宋_GB2312" w:cs="仿宋_GB2312"/>
          <w:color w:val="auto"/>
          <w:sz w:val="24"/>
          <w:highlight w:val="none"/>
        </w:rPr>
        <w:t>第一章 投标人须知</w:t>
      </w:r>
      <w:bookmarkEnd w:id="46"/>
      <w:bookmarkEnd w:id="47"/>
      <w:bookmarkEnd w:id="48"/>
      <w:bookmarkEnd w:id="49"/>
    </w:p>
    <w:p w14:paraId="2FE98975">
      <w:pPr>
        <w:adjustRightInd w:val="0"/>
        <w:snapToGrid w:val="0"/>
        <w:spacing w:line="360" w:lineRule="auto"/>
        <w:ind w:firstLine="480" w:firstLineChars="200"/>
        <w:rPr>
          <w:rFonts w:ascii="仿宋_GB2312" w:hAnsi="仿宋" w:eastAsia="仿宋_GB2312" w:cs="仿宋_GB2312"/>
          <w:color w:val="auto"/>
          <w:sz w:val="24"/>
          <w:highlight w:val="none"/>
        </w:rPr>
      </w:pPr>
      <w:bookmarkStart w:id="50" w:name="_Toc32235_WPSOffice_Level2"/>
      <w:bookmarkStart w:id="51" w:name="_Toc31424_WPSOffice_Level2"/>
      <w:bookmarkStart w:id="52" w:name="_Toc2443_WPSOffice_Level2"/>
      <w:bookmarkStart w:id="53" w:name="_Toc13276_WPSOffice_Level2"/>
      <w:r>
        <w:rPr>
          <w:rFonts w:hint="eastAsia" w:ascii="仿宋_GB2312" w:hAnsi="仿宋" w:eastAsia="仿宋_GB2312" w:cs="仿宋_GB2312"/>
          <w:color w:val="auto"/>
          <w:sz w:val="24"/>
          <w:highlight w:val="none"/>
        </w:rPr>
        <w:t>第二章 投标文件内容及格式</w:t>
      </w:r>
      <w:bookmarkEnd w:id="50"/>
      <w:bookmarkEnd w:id="51"/>
      <w:bookmarkEnd w:id="52"/>
      <w:bookmarkEnd w:id="53"/>
    </w:p>
    <w:p w14:paraId="7E18A59A">
      <w:pPr>
        <w:adjustRightInd w:val="0"/>
        <w:snapToGrid w:val="0"/>
        <w:spacing w:line="360" w:lineRule="auto"/>
        <w:ind w:firstLine="480" w:firstLineChars="200"/>
        <w:rPr>
          <w:rFonts w:ascii="仿宋_GB2312" w:hAnsi="仿宋" w:eastAsia="仿宋_GB2312" w:cs="仿宋_GB2312"/>
          <w:color w:val="auto"/>
          <w:sz w:val="24"/>
          <w:highlight w:val="none"/>
        </w:rPr>
      </w:pPr>
      <w:bookmarkStart w:id="54" w:name="_Toc4416_WPSOffice_Level2"/>
      <w:bookmarkStart w:id="55" w:name="_Toc16269_WPSOffice_Level2"/>
      <w:bookmarkStart w:id="56" w:name="_Toc24836_WPSOffice_Level2"/>
      <w:bookmarkStart w:id="57" w:name="_Toc7005_WPSOffice_Level2"/>
      <w:r>
        <w:rPr>
          <w:rFonts w:hint="eastAsia" w:ascii="仿宋_GB2312" w:hAnsi="仿宋" w:eastAsia="仿宋_GB2312" w:cs="仿宋_GB2312"/>
          <w:color w:val="auto"/>
          <w:sz w:val="24"/>
          <w:highlight w:val="none"/>
        </w:rPr>
        <w:t>第三章 货物需求</w:t>
      </w:r>
      <w:bookmarkEnd w:id="54"/>
      <w:bookmarkEnd w:id="55"/>
      <w:bookmarkEnd w:id="56"/>
      <w:bookmarkEnd w:id="57"/>
    </w:p>
    <w:p w14:paraId="67D54641">
      <w:pPr>
        <w:adjustRightInd w:val="0"/>
        <w:snapToGrid w:val="0"/>
        <w:spacing w:line="360" w:lineRule="auto"/>
        <w:ind w:firstLine="480" w:firstLineChars="200"/>
        <w:rPr>
          <w:rFonts w:ascii="仿宋_GB2312" w:hAnsi="仿宋" w:eastAsia="仿宋_GB2312" w:cs="仿宋_GB2312"/>
          <w:color w:val="auto"/>
          <w:sz w:val="24"/>
          <w:highlight w:val="none"/>
        </w:rPr>
      </w:pPr>
      <w:bookmarkStart w:id="58" w:name="_Toc16119_WPSOffice_Level2"/>
      <w:bookmarkStart w:id="59" w:name="_Toc23459_WPSOffice_Level2"/>
      <w:bookmarkStart w:id="60" w:name="_Toc16294_WPSOffice_Level2"/>
      <w:bookmarkStart w:id="61" w:name="_Toc25382_WPSOffice_Level2"/>
      <w:r>
        <w:rPr>
          <w:rFonts w:hint="eastAsia" w:ascii="仿宋_GB2312" w:hAnsi="仿宋" w:eastAsia="仿宋_GB2312" w:cs="仿宋_GB2312"/>
          <w:color w:val="auto"/>
          <w:sz w:val="24"/>
          <w:highlight w:val="none"/>
        </w:rPr>
        <w:t>第四章 评标方法</w:t>
      </w:r>
      <w:bookmarkEnd w:id="58"/>
      <w:bookmarkEnd w:id="59"/>
      <w:bookmarkEnd w:id="60"/>
      <w:bookmarkEnd w:id="61"/>
    </w:p>
    <w:p w14:paraId="1A8913CD">
      <w:pPr>
        <w:adjustRightInd w:val="0"/>
        <w:snapToGrid w:val="0"/>
        <w:spacing w:line="360" w:lineRule="auto"/>
        <w:ind w:firstLine="480" w:firstLineChars="200"/>
        <w:rPr>
          <w:rFonts w:ascii="仿宋_GB2312" w:hAnsi="仿宋" w:eastAsia="仿宋_GB2312" w:cs="仿宋_GB2312"/>
          <w:color w:val="auto"/>
          <w:sz w:val="24"/>
          <w:highlight w:val="none"/>
        </w:rPr>
      </w:pPr>
      <w:bookmarkStart w:id="62" w:name="_Toc9629_WPSOffice_Level2"/>
      <w:bookmarkStart w:id="63" w:name="_Toc28106_WPSOffice_Level2"/>
      <w:bookmarkStart w:id="64" w:name="_Toc17794_WPSOffice_Level2"/>
      <w:bookmarkStart w:id="65" w:name="_Toc16368_WPSOffice_Level2"/>
      <w:r>
        <w:rPr>
          <w:rFonts w:hint="eastAsia" w:ascii="仿宋_GB2312" w:hAnsi="仿宋" w:eastAsia="仿宋_GB2312" w:cs="仿宋_GB2312"/>
          <w:color w:val="auto"/>
          <w:sz w:val="24"/>
          <w:highlight w:val="none"/>
        </w:rPr>
        <w:t>第五章 政府采购合同</w:t>
      </w:r>
      <w:bookmarkEnd w:id="62"/>
      <w:bookmarkEnd w:id="63"/>
      <w:bookmarkEnd w:id="64"/>
      <w:bookmarkEnd w:id="65"/>
      <w:r>
        <w:rPr>
          <w:rFonts w:hint="eastAsia" w:ascii="仿宋_GB2312" w:hAnsi="仿宋" w:eastAsia="仿宋_GB2312" w:cs="仿宋_GB2312"/>
          <w:color w:val="auto"/>
          <w:sz w:val="24"/>
          <w:highlight w:val="none"/>
        </w:rPr>
        <w:t>条款及格式</w:t>
      </w:r>
    </w:p>
    <w:p w14:paraId="1B4714AE">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★8.2投标人应认真阅读招标文件所有的事项、格式、条款等。如投标人没有按照招标文件要求提交资料，或者投标文件没有对招标文件做出实质性响应，可能导致其投标被认定为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3729E5BF">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9.招标文件的澄清与修改</w:t>
      </w:r>
    </w:p>
    <w:p w14:paraId="761589F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9.1采购人或者采购组织机构可以对已发出的招标文件进行澄清或者修改。澄清或者修改的内容可能影响投标文件编制的，应当在投标截止时间至少15日前，在原公告发布媒体上发布变更公告，并以书面形式通知所有获取招标文件的潜在投标人（即招标人将澄清文件内容在发布招标公告的网络媒介统一公布，投标人自行查阅，如因投标人未及时查阅造成的一切投标风险均由投标人自行承担）；不足15日的，采购人或者采购组织机构应当顺延提交投标文件的截止时间。</w:t>
      </w:r>
    </w:p>
    <w:p w14:paraId="42D2EB9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9.2澄清或者修改的内容为招标文件的组成部分，对所有招标文件的收受人具有约束力。投标人在收到上述通知后，应及时向采购组织机构回函确认。</w:t>
      </w:r>
    </w:p>
    <w:p w14:paraId="0E6DFE7B">
      <w:pPr>
        <w:pStyle w:val="3"/>
        <w:rPr>
          <w:rFonts w:ascii="仿宋_GB2312" w:hAnsi="仿宋" w:eastAsia="仿宋_GB2312" w:cs="仿宋_GB2312"/>
          <w:color w:val="auto"/>
          <w:sz w:val="32"/>
          <w:szCs w:val="32"/>
          <w:highlight w:val="none"/>
        </w:rPr>
      </w:pPr>
      <w:bookmarkStart w:id="66" w:name="_Toc7415_WPSOffice_Level2"/>
      <w:r>
        <w:rPr>
          <w:rFonts w:hint="eastAsia" w:ascii="仿宋_GB2312" w:hAnsi="仿宋" w:eastAsia="仿宋_GB2312" w:cs="仿宋_GB2312"/>
          <w:color w:val="auto"/>
          <w:sz w:val="32"/>
          <w:szCs w:val="32"/>
          <w:highlight w:val="none"/>
        </w:rPr>
        <w:t>四 投标文件的编制</w:t>
      </w:r>
      <w:bookmarkEnd w:id="66"/>
    </w:p>
    <w:p w14:paraId="6253B4DA">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10.投标范围</w:t>
      </w:r>
    </w:p>
    <w:p w14:paraId="66E9577D">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10.1项目有分包的，投标人可对招标文件其中某一个分包或几个分包进行投标。</w:t>
      </w:r>
    </w:p>
    <w:p w14:paraId="65E797E4">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★10.2投标人应当对所投分包在招标文件中“货物需求”所列的所有货物内容进行投标，如仅响应分包中某一部分内容，其该包投标将被认定为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1DE98AB5">
      <w:pPr>
        <w:pStyle w:val="9"/>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10.3如一个分包内包含多种产品的，采购人或采购组织机构将在投标人须知表10.3款中载明核心产品（非单一产品采购时，只能设一个核心产品），多家投标人提供的核心产品品牌相同的，按照第四章“评标办法”第4款“同一品牌产品”规定处理。</w:t>
      </w:r>
    </w:p>
    <w:p w14:paraId="4F1815A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10.4无论招标文件第三章货物需求中是否要求，投标人所投货物均应符合国家强制性标准。</w:t>
      </w:r>
    </w:p>
    <w:p w14:paraId="0EC21EFD">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11.投标文件构成</w:t>
      </w:r>
    </w:p>
    <w:p w14:paraId="7A96AF45">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★11.1投标人应完整地按招标文件提供的投标文件格式及要求编写投标文件。投标文件应包括资格证明文件、符合性证明文件、其它材料三部分。具体见第二章 投标文件内容及格式。</w:t>
      </w:r>
    </w:p>
    <w:p w14:paraId="1B58D245">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★11.2投标人应按招标文件提供的格式编写投标文件。招标文件提供标准格式的按标准格式填列，未提供标准格式的可自行拟定。</w:t>
      </w:r>
    </w:p>
    <w:p w14:paraId="6382471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11.3样品或演示要求详见投标人须知表11.3款。</w:t>
      </w:r>
    </w:p>
    <w:p w14:paraId="7F810A21">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12.投标报价</w:t>
      </w:r>
    </w:p>
    <w:p w14:paraId="11E9C9D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303247FD">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14:paraId="1F2D459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12.3投标人应按招标文件要求在相关表格中标明投标货物及伴随服务的单价和总价，并由法定代表人（非法人组织的负责人）或其委托代理人签署。</w:t>
      </w:r>
    </w:p>
    <w:p w14:paraId="64478730">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12.4投标人所报的各分项投标单价在合同履行过程中是固定不变的，不得以任何理由予以变更。任何包含价格调整要求的投标，其投标将被认定为</w:t>
      </w:r>
      <w:r>
        <w:rPr>
          <w:rFonts w:hint="eastAsia" w:ascii="仿宋_GB2312" w:hAnsi="仿宋" w:eastAsia="仿宋_GB2312" w:cs="仿宋_GB2312"/>
          <w:b/>
          <w:bCs/>
          <w:color w:val="auto"/>
          <w:sz w:val="24"/>
          <w:highlight w:val="none"/>
        </w:rPr>
        <w:t>投标无效。</w:t>
      </w:r>
    </w:p>
    <w:p w14:paraId="3D7F555D">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12.5每种货物只能有一个投标报价。采购人不接受具有附加条件的报价。</w:t>
      </w:r>
    </w:p>
    <w:p w14:paraId="4A63550C">
      <w:pPr>
        <w:adjustRightInd w:val="0"/>
        <w:snapToGrid w:val="0"/>
        <w:spacing w:line="360" w:lineRule="auto"/>
        <w:ind w:firstLine="480" w:firstLineChars="200"/>
        <w:rPr>
          <w:rFonts w:ascii="仿宋_GB2312" w:hAnsi="仿宋" w:eastAsia="仿宋_GB2312" w:cs="仿宋_GB2312"/>
          <w:color w:val="auto"/>
          <w:sz w:val="24"/>
          <w:highlight w:val="none"/>
        </w:rPr>
      </w:pPr>
      <w:bookmarkStart w:id="67" w:name="_Toc31973_WPSOffice_Level2"/>
      <w:bookmarkStart w:id="68" w:name="_Toc22507_WPSOffice_Level2"/>
      <w:r>
        <w:rPr>
          <w:rFonts w:hint="eastAsia" w:ascii="仿宋_GB2312" w:hAnsi="仿宋" w:eastAsia="仿宋_GB2312" w:cs="仿宋_GB2312"/>
          <w:color w:val="auto"/>
          <w:sz w:val="24"/>
          <w:highlight w:val="none"/>
        </w:rPr>
        <w:t>12.6除非招标文件另有规定，报价原则上精确到小数点后两位。</w:t>
      </w:r>
      <w:bookmarkEnd w:id="67"/>
      <w:bookmarkEnd w:id="68"/>
    </w:p>
    <w:p w14:paraId="06FF1F5C">
      <w:pPr>
        <w:adjustRightInd w:val="0"/>
        <w:snapToGrid w:val="0"/>
        <w:spacing w:line="360" w:lineRule="auto"/>
        <w:ind w:firstLine="240" w:firstLineChars="100"/>
        <w:rPr>
          <w:rFonts w:eastAsia="仿宋_GB2312"/>
          <w:color w:val="auto"/>
          <w:szCs w:val="21"/>
          <w:highlight w:val="none"/>
        </w:rPr>
      </w:pPr>
      <w:r>
        <w:rPr>
          <w:rFonts w:hint="eastAsia" w:ascii="仿宋_GB2312" w:hAnsi="仿宋" w:eastAsia="仿宋_GB2312" w:cs="仿宋_GB2312"/>
          <w:b/>
          <w:bCs/>
          <w:color w:val="auto"/>
          <w:sz w:val="24"/>
          <w:highlight w:val="none"/>
        </w:rPr>
        <w:t>★13.投标保证金</w:t>
      </w:r>
    </w:p>
    <w:p w14:paraId="449F5FC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13.1投标人应提交投标人须知表13.1款中规定的投标保证金，并作为其投标的一部分。</w:t>
      </w:r>
    </w:p>
    <w:p w14:paraId="7C3F28C0">
      <w:pPr>
        <w:adjustRightInd w:val="0"/>
        <w:snapToGrid w:val="0"/>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13.2投标保证金缴纳人、招标文件领取人、投标登记人和投标人必须为同一组织机构或联合体内不同成员单位，否则将视同未按招标文件规定交纳投标保证金。</w:t>
      </w:r>
    </w:p>
    <w:p w14:paraId="1AC12EB1">
      <w:pPr>
        <w:adjustRightInd w:val="0"/>
        <w:snapToGrid w:val="0"/>
        <w:spacing w:line="360" w:lineRule="auto"/>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13.3投标人存在下列情形的，投标保证金不予退还：</w:t>
      </w:r>
    </w:p>
    <w:p w14:paraId="609C7C5C">
      <w:pPr>
        <w:adjustRightInd w:val="0"/>
        <w:snapToGrid w:val="0"/>
        <w:spacing w:line="360" w:lineRule="auto"/>
        <w:ind w:firstLine="480" w:firstLineChars="200"/>
        <w:jc w:val="left"/>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（1）在投标有效期内，投标人撤销投标的</w:t>
      </w:r>
      <w:r>
        <w:rPr>
          <w:rFonts w:hint="eastAsia" w:ascii="仿宋_GB2312" w:hAnsi="仿宋" w:eastAsia="仿宋_GB2312" w:cs="仿宋_GB2312"/>
          <w:color w:val="auto"/>
          <w:sz w:val="24"/>
          <w:highlight w:val="none"/>
          <w:lang w:eastAsia="zh-CN"/>
        </w:rPr>
        <w:t>；</w:t>
      </w:r>
    </w:p>
    <w:p w14:paraId="39A79325">
      <w:pPr>
        <w:adjustRightInd w:val="0"/>
        <w:snapToGrid w:val="0"/>
        <w:spacing w:line="360" w:lineRule="auto"/>
        <w:ind w:firstLine="480" w:firstLineChars="200"/>
        <w:jc w:val="left"/>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（2）中标后不按本须知第34款的规定与采购人签订合同的</w:t>
      </w:r>
      <w:r>
        <w:rPr>
          <w:rFonts w:hint="eastAsia" w:ascii="仿宋_GB2312" w:hAnsi="仿宋" w:eastAsia="仿宋_GB2312" w:cs="仿宋_GB2312"/>
          <w:color w:val="auto"/>
          <w:sz w:val="24"/>
          <w:highlight w:val="none"/>
          <w:lang w:eastAsia="zh-CN"/>
        </w:rPr>
        <w:t>；</w:t>
      </w:r>
    </w:p>
    <w:p w14:paraId="6CECA1CC">
      <w:pPr>
        <w:adjustRightInd w:val="0"/>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（3）中标后不按本须知第35款的规定提交履约保证金的</w:t>
      </w:r>
      <w:r>
        <w:rPr>
          <w:rFonts w:hint="eastAsia" w:ascii="仿宋_GB2312" w:hAnsi="仿宋" w:eastAsia="仿宋_GB2312" w:cs="仿宋_GB2312"/>
          <w:color w:val="auto"/>
          <w:sz w:val="24"/>
          <w:highlight w:val="none"/>
          <w:lang w:eastAsia="zh-CN"/>
        </w:rPr>
        <w:t>；</w:t>
      </w:r>
    </w:p>
    <w:p w14:paraId="619C08E1">
      <w:pPr>
        <w:adjustRightInd w:val="0"/>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（4）中标后不按本须知第36款的规定缴纳采购代理服务费的</w:t>
      </w:r>
      <w:r>
        <w:rPr>
          <w:rFonts w:hint="eastAsia" w:ascii="仿宋_GB2312" w:hAnsi="仿宋" w:eastAsia="仿宋_GB2312" w:cs="仿宋_GB2312"/>
          <w:color w:val="auto"/>
          <w:sz w:val="24"/>
          <w:highlight w:val="none"/>
          <w:lang w:eastAsia="zh-CN"/>
        </w:rPr>
        <w:t>；</w:t>
      </w:r>
    </w:p>
    <w:p w14:paraId="6BFBD06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（5）存在其他违法违规行为的。</w:t>
      </w:r>
    </w:p>
    <w:p w14:paraId="53AD8F1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13.4联合体投标的，可以由联合体中的一方或者共同提交投标保证金。以一方名义提交投标保证金的，对联合体各方均具有约束力。</w:t>
      </w:r>
    </w:p>
    <w:p w14:paraId="0BF73E4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13.5投标保证金的退还</w:t>
      </w:r>
    </w:p>
    <w:p w14:paraId="6743DA7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13.5.1中标人应在与采购人签订合同之日起5个工作日内，及时联系保证金收受机构办理投标保证金退还手续。</w:t>
      </w:r>
    </w:p>
    <w:p w14:paraId="315B972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13.5.2未中标投标人的投标保证金将在中标通知书发出之日暨中标结果公告公布之日起5个工作日内无息退还。投标人应及时联系保证金收受机构办理退还投标保证金手续。</w:t>
      </w:r>
    </w:p>
    <w:p w14:paraId="3103743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13.5.3投标人在投标截止时间前撤回已提交的投标文件的，投标人应自采购人或者采购组织机构收到投标人书面撤回通知之日起５个工作日内，及时联系保证金收受机构办理投标保证金退还手续。</w:t>
      </w:r>
    </w:p>
    <w:p w14:paraId="225BB90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13.5.4政府采购投标担保函不予退回。</w:t>
      </w:r>
    </w:p>
    <w:p w14:paraId="0437202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13.6因投标人自身原因导致无法及时退还的，采购人或采购组织机构将不承担相应责任。</w:t>
      </w:r>
    </w:p>
    <w:p w14:paraId="2FD631BD">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14.证明投标标的的合格性和符合招标文件规定的技术文件</w:t>
      </w:r>
    </w:p>
    <w:p w14:paraId="4432B0F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14.1投标人应提交证明文件，证明其投标内容符合招标文件规定。该证明文件是投标文件的一部分。</w:t>
      </w:r>
    </w:p>
    <w:p w14:paraId="07A5446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14.2上款所述的证明文件，可以是文字资料、图纸和数据，它包括：</w:t>
      </w:r>
    </w:p>
    <w:p w14:paraId="30136C95">
      <w:pPr>
        <w:adjustRightInd w:val="0"/>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（1）货物主要技术指标和性能的详细说明</w:t>
      </w:r>
      <w:r>
        <w:rPr>
          <w:rFonts w:hint="eastAsia" w:ascii="仿宋_GB2312" w:hAnsi="仿宋" w:eastAsia="仿宋_GB2312" w:cs="仿宋_GB2312"/>
          <w:color w:val="auto"/>
          <w:sz w:val="24"/>
          <w:highlight w:val="none"/>
          <w:lang w:eastAsia="zh-CN"/>
        </w:rPr>
        <w:t>；</w:t>
      </w:r>
    </w:p>
    <w:p w14:paraId="40FDA3C7">
      <w:pPr>
        <w:adjustRightInd w:val="0"/>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（2）货物从采购人开始使用至招标文件规定的保质期内正常、连续地使用所必须的备件和专用工具清单，包括备件和专用工具的货源及现行价格</w:t>
      </w:r>
      <w:r>
        <w:rPr>
          <w:rFonts w:hint="eastAsia" w:ascii="仿宋_GB2312" w:hAnsi="仿宋" w:eastAsia="仿宋_GB2312" w:cs="仿宋_GB2312"/>
          <w:color w:val="auto"/>
          <w:sz w:val="24"/>
          <w:highlight w:val="none"/>
          <w:lang w:eastAsia="zh-CN"/>
        </w:rPr>
        <w:t>；</w:t>
      </w:r>
    </w:p>
    <w:p w14:paraId="1C029F28">
      <w:pPr>
        <w:adjustRightInd w:val="0"/>
        <w:snapToGrid w:val="0"/>
        <w:spacing w:line="360" w:lineRule="auto"/>
        <w:ind w:firstLine="480" w:firstLineChars="200"/>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（3）对照招标文件技术规格，逐条说明所提供货物及伴随的工程和服务已对招标文件的技术规格做出了实质性的响应，或申明与技术规格条文的偏差和例外</w:t>
      </w:r>
      <w:r>
        <w:rPr>
          <w:rFonts w:hint="eastAsia" w:ascii="仿宋_GB2312" w:hAnsi="仿宋" w:eastAsia="仿宋_GB2312" w:cs="仿宋_GB2312"/>
          <w:color w:val="auto"/>
          <w:sz w:val="24"/>
          <w:highlight w:val="none"/>
          <w:lang w:eastAsia="zh-CN"/>
        </w:rPr>
        <w:t>。</w:t>
      </w:r>
    </w:p>
    <w:p w14:paraId="1F795AE4">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15.投标有效期</w:t>
      </w:r>
    </w:p>
    <w:p w14:paraId="6A0CC1F6">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15.1投标应在投标人须知表15.1款中规定的投标有效期内保持有效。投标有效期不满足要求的投标，其投标将被认定为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533D786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15.2在特殊情况下，采购人或采购组织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4CD181B2">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16.投标文件的签署及规定（适用于中标后递交纸质文件）</w:t>
      </w:r>
    </w:p>
    <w:p w14:paraId="619BEA02">
      <w:pPr>
        <w:adjustRightInd w:val="0"/>
        <w:snapToGrid w:val="0"/>
        <w:spacing w:line="360" w:lineRule="auto"/>
        <w:ind w:firstLine="480" w:firstLineChars="200"/>
        <w:rPr>
          <w:rFonts w:ascii="仿宋_GB2312" w:hAnsi="仿宋" w:eastAsia="仿宋_GB2312" w:cs="仿宋_GB2312"/>
          <w:color w:val="auto"/>
          <w:sz w:val="24"/>
          <w:highlight w:val="none"/>
        </w:rPr>
      </w:pPr>
      <w:bookmarkStart w:id="69" w:name="_Toc27725_WPSOffice_Level2"/>
      <w:r>
        <w:rPr>
          <w:rFonts w:hint="eastAsia" w:ascii="仿宋_GB2312" w:hAnsi="仿宋" w:eastAsia="仿宋_GB2312" w:cs="仿宋_GB2312"/>
          <w:color w:val="auto"/>
          <w:sz w:val="24"/>
          <w:highlight w:val="none"/>
        </w:rPr>
        <w:t>16.1投标人应按投标人须知表16.1款中的规定，准备和递交投标文件正本、副本和电子文档。</w:t>
      </w:r>
    </w:p>
    <w:p w14:paraId="6862D236">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★16.2每份投标文件封皮须清楚地标明“正本”或“副本”。若正本和副本不符，以正本为准。</w:t>
      </w:r>
    </w:p>
    <w:p w14:paraId="10D0416B">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14:paraId="63118143">
      <w:pPr>
        <w:pStyle w:val="3"/>
        <w:rPr>
          <w:rFonts w:ascii="仿宋_GB2312" w:hAnsi="仿宋" w:eastAsia="仿宋_GB2312" w:cs="仿宋_GB2312"/>
          <w:color w:val="auto"/>
          <w:sz w:val="32"/>
          <w:szCs w:val="32"/>
          <w:highlight w:val="none"/>
        </w:rPr>
      </w:pPr>
      <w:r>
        <w:rPr>
          <w:rFonts w:hint="eastAsia" w:ascii="仿宋_GB2312" w:hAnsi="仿宋" w:eastAsia="仿宋_GB2312" w:cs="仿宋_GB2312"/>
          <w:color w:val="auto"/>
          <w:sz w:val="32"/>
          <w:szCs w:val="32"/>
          <w:highlight w:val="none"/>
        </w:rPr>
        <w:t>五 投标文件的递交</w:t>
      </w:r>
      <w:bookmarkEnd w:id="69"/>
    </w:p>
    <w:p w14:paraId="11246BD6">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17.投标文件的密封和标记</w:t>
      </w:r>
    </w:p>
    <w:p w14:paraId="7F18CDF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17.1投标人应对现场递交U盘形式存储的电子投标文件进行密封包封。</w:t>
      </w:r>
    </w:p>
    <w:p w14:paraId="486D1C6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17.2包装封皮上应：</w:t>
      </w:r>
    </w:p>
    <w:p w14:paraId="4AFAC57A">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（1）注明项目名称、项目编号、包号、投标人名称。</w:t>
      </w:r>
    </w:p>
    <w:p w14:paraId="15F8EB8E">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（2）加盖投标人单位公章。</w:t>
      </w:r>
    </w:p>
    <w:p w14:paraId="03D7503D">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18.投标截止</w:t>
      </w:r>
    </w:p>
    <w:p w14:paraId="52951BB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18.1投标人应在投标人须知表18.1中规定的递交投标文件截止时间前，将投标文件递交到投标人须知表18.1款中规定的地点。</w:t>
      </w:r>
    </w:p>
    <w:p w14:paraId="70AE258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18.2采购人和采购组织机构有权按本须知的规定，延迟投标截止时间。在此情况下，采购人、采购组织机构和投标人受投标截止时间制约的所有权利和义务均应延长至新的截止时间。</w:t>
      </w:r>
    </w:p>
    <w:p w14:paraId="2AA7D4FF">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19.投标文件的接收、修改与撤回</w:t>
      </w:r>
    </w:p>
    <w:p w14:paraId="33FE637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19.1在投标截止时间后送达的投标文件，采购人和采购组织机构将</w:t>
      </w:r>
      <w:r>
        <w:rPr>
          <w:rFonts w:hint="eastAsia" w:ascii="仿宋_GB2312" w:hAnsi="仿宋" w:eastAsia="仿宋_GB2312" w:cs="仿宋_GB2312"/>
          <w:b/>
          <w:bCs/>
          <w:color w:val="auto"/>
          <w:sz w:val="24"/>
          <w:highlight w:val="none"/>
        </w:rPr>
        <w:t>拒绝接收</w:t>
      </w:r>
      <w:r>
        <w:rPr>
          <w:rFonts w:hint="eastAsia" w:ascii="仿宋_GB2312" w:hAnsi="仿宋" w:eastAsia="仿宋_GB2312" w:cs="仿宋_GB2312"/>
          <w:color w:val="auto"/>
          <w:sz w:val="24"/>
          <w:highlight w:val="none"/>
        </w:rPr>
        <w:t>。</w:t>
      </w:r>
    </w:p>
    <w:p w14:paraId="1AEB718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19.2采购人或者采购组织机构收到投标文件后，应当如实记载投标文件的送达时间和密封情况，并向投标人出具以下签收回执。</w:t>
      </w:r>
    </w:p>
    <w:p w14:paraId="22F93D7C">
      <w:pPr>
        <w:adjustRightInd w:val="0"/>
        <w:snapToGrid w:val="0"/>
        <w:spacing w:line="360" w:lineRule="auto"/>
        <w:jc w:val="center"/>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接收投标文件回执单（不适用）</w:t>
      </w:r>
    </w:p>
    <w:tbl>
      <w:tblPr>
        <w:tblStyle w:val="25"/>
        <w:tblW w:w="8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5"/>
        <w:gridCol w:w="6454"/>
      </w:tblGrid>
      <w:tr w14:paraId="69A0B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965" w:type="dxa"/>
            <w:vAlign w:val="center"/>
          </w:tcPr>
          <w:p w14:paraId="455C0B01">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项目编号</w:t>
            </w:r>
          </w:p>
        </w:tc>
        <w:tc>
          <w:tcPr>
            <w:tcW w:w="6454" w:type="dxa"/>
            <w:vAlign w:val="center"/>
          </w:tcPr>
          <w:p w14:paraId="4E64679C">
            <w:pPr>
              <w:adjustRightInd w:val="0"/>
              <w:snapToGrid w:val="0"/>
              <w:jc w:val="center"/>
              <w:rPr>
                <w:rFonts w:ascii="仿宋_GB2312" w:hAnsi="仿宋" w:eastAsia="仿宋_GB2312" w:cs="仿宋_GB2312"/>
                <w:color w:val="auto"/>
                <w:sz w:val="24"/>
                <w:highlight w:val="none"/>
              </w:rPr>
            </w:pPr>
          </w:p>
        </w:tc>
      </w:tr>
      <w:tr w14:paraId="70C91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1965" w:type="dxa"/>
            <w:vAlign w:val="center"/>
          </w:tcPr>
          <w:p w14:paraId="2CE860AF">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项目名称</w:t>
            </w:r>
          </w:p>
        </w:tc>
        <w:tc>
          <w:tcPr>
            <w:tcW w:w="6454" w:type="dxa"/>
            <w:vAlign w:val="center"/>
          </w:tcPr>
          <w:p w14:paraId="65898FCA">
            <w:pPr>
              <w:adjustRightInd w:val="0"/>
              <w:snapToGrid w:val="0"/>
              <w:jc w:val="center"/>
              <w:rPr>
                <w:rFonts w:ascii="仿宋_GB2312" w:hAnsi="仿宋" w:eastAsia="仿宋_GB2312" w:cs="仿宋_GB2312"/>
                <w:color w:val="auto"/>
                <w:sz w:val="24"/>
                <w:highlight w:val="none"/>
              </w:rPr>
            </w:pPr>
          </w:p>
        </w:tc>
      </w:tr>
      <w:tr w14:paraId="1A82C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965" w:type="dxa"/>
            <w:vAlign w:val="center"/>
          </w:tcPr>
          <w:p w14:paraId="403196EC">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w:t>
            </w:r>
          </w:p>
        </w:tc>
        <w:tc>
          <w:tcPr>
            <w:tcW w:w="6454" w:type="dxa"/>
            <w:vAlign w:val="center"/>
          </w:tcPr>
          <w:p w14:paraId="353F07EE">
            <w:pPr>
              <w:adjustRightInd w:val="0"/>
              <w:snapToGrid w:val="0"/>
              <w:jc w:val="center"/>
              <w:rPr>
                <w:rFonts w:ascii="仿宋_GB2312" w:hAnsi="仿宋" w:eastAsia="仿宋_GB2312" w:cs="仿宋_GB2312"/>
                <w:color w:val="auto"/>
                <w:sz w:val="24"/>
                <w:highlight w:val="none"/>
              </w:rPr>
            </w:pPr>
          </w:p>
        </w:tc>
      </w:tr>
      <w:tr w14:paraId="505E7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65" w:type="dxa"/>
            <w:vAlign w:val="center"/>
          </w:tcPr>
          <w:p w14:paraId="66A5B012">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递交时间</w:t>
            </w:r>
          </w:p>
        </w:tc>
        <w:tc>
          <w:tcPr>
            <w:tcW w:w="6454" w:type="dxa"/>
            <w:vAlign w:val="center"/>
          </w:tcPr>
          <w:p w14:paraId="32B4CC42">
            <w:pPr>
              <w:adjustRightInd w:val="0"/>
              <w:snapToGrid w:val="0"/>
              <w:jc w:val="center"/>
              <w:rPr>
                <w:rFonts w:ascii="仿宋_GB2312" w:hAnsi="仿宋" w:eastAsia="仿宋_GB2312" w:cs="仿宋_GB2312"/>
                <w:color w:val="auto"/>
                <w:sz w:val="24"/>
                <w:highlight w:val="none"/>
              </w:rPr>
            </w:pPr>
          </w:p>
        </w:tc>
      </w:tr>
      <w:tr w14:paraId="1C023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965" w:type="dxa"/>
            <w:vAlign w:val="center"/>
          </w:tcPr>
          <w:p w14:paraId="1CD9EED2">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接收单位</w:t>
            </w:r>
          </w:p>
        </w:tc>
        <w:tc>
          <w:tcPr>
            <w:tcW w:w="6454" w:type="dxa"/>
            <w:vAlign w:val="center"/>
          </w:tcPr>
          <w:p w14:paraId="308F01E9">
            <w:pPr>
              <w:adjustRightInd w:val="0"/>
              <w:snapToGrid w:val="0"/>
              <w:jc w:val="center"/>
              <w:rPr>
                <w:rFonts w:ascii="仿宋_GB2312" w:hAnsi="仿宋" w:eastAsia="仿宋_GB2312" w:cs="仿宋_GB2312"/>
                <w:color w:val="auto"/>
                <w:sz w:val="24"/>
                <w:highlight w:val="none"/>
              </w:rPr>
            </w:pPr>
          </w:p>
        </w:tc>
      </w:tr>
      <w:tr w14:paraId="213B7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965" w:type="dxa"/>
            <w:vAlign w:val="center"/>
          </w:tcPr>
          <w:p w14:paraId="3A6981B5">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接收人签字</w:t>
            </w:r>
          </w:p>
        </w:tc>
        <w:tc>
          <w:tcPr>
            <w:tcW w:w="6454" w:type="dxa"/>
            <w:vAlign w:val="center"/>
          </w:tcPr>
          <w:p w14:paraId="08498E0F">
            <w:pPr>
              <w:adjustRightInd w:val="0"/>
              <w:snapToGrid w:val="0"/>
              <w:jc w:val="center"/>
              <w:rPr>
                <w:rFonts w:ascii="仿宋_GB2312" w:hAnsi="仿宋" w:eastAsia="仿宋_GB2312" w:cs="仿宋_GB2312"/>
                <w:color w:val="auto"/>
                <w:sz w:val="24"/>
                <w:highlight w:val="none"/>
              </w:rPr>
            </w:pPr>
          </w:p>
        </w:tc>
      </w:tr>
    </w:tbl>
    <w:p w14:paraId="23D1E31E">
      <w:pPr>
        <w:adjustRightInd w:val="0"/>
        <w:snapToGrid w:val="0"/>
        <w:spacing w:before="156" w:beforeLines="5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19.3递交投标文件以后，如果投标人要进行修改或撤回投标，须提出书面申请并在投标截止时间前送达开标地点，投标人对投标文件的修改或撤回通知应按本须知规定编制、密封、标记。采购人和采购组织机构将予以接收，并视为投标文件的组成部分。否则，修改后的投标文件或撤回行为无效。</w:t>
      </w:r>
    </w:p>
    <w:p w14:paraId="5E4AEDAA">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19.4在投标截止时间之后，投标人不得对其投标文件做任何修改。</w:t>
      </w:r>
    </w:p>
    <w:p w14:paraId="4150B01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19.5采购人和采购组织机构对所接收并当众宣读投标内容的投标文件概不退回。</w:t>
      </w:r>
    </w:p>
    <w:p w14:paraId="204B435B">
      <w:pPr>
        <w:pStyle w:val="3"/>
        <w:spacing w:before="120" w:after="120"/>
        <w:rPr>
          <w:rFonts w:ascii="仿宋_GB2312" w:hAnsi="仿宋" w:eastAsia="仿宋_GB2312" w:cs="仿宋_GB2312"/>
          <w:color w:val="auto"/>
          <w:sz w:val="32"/>
          <w:szCs w:val="28"/>
          <w:highlight w:val="none"/>
        </w:rPr>
      </w:pPr>
      <w:bookmarkStart w:id="70" w:name="_Toc988_WPSOffice_Level2"/>
      <w:r>
        <w:rPr>
          <w:rFonts w:hint="eastAsia" w:ascii="仿宋_GB2312" w:hAnsi="仿宋" w:eastAsia="仿宋_GB2312" w:cs="仿宋_GB2312"/>
          <w:color w:val="auto"/>
          <w:sz w:val="32"/>
          <w:szCs w:val="28"/>
          <w:highlight w:val="none"/>
        </w:rPr>
        <w:t>六 开标及评标</w:t>
      </w:r>
      <w:bookmarkEnd w:id="70"/>
    </w:p>
    <w:p w14:paraId="5D376140">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20.开标</w:t>
      </w:r>
    </w:p>
    <w:p w14:paraId="2EB9F86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20.1采购人和采购组织机构将按投标人须知表20.1款中规定的开标时间和地点组织公开开标并邀请所有投标人代表参加。</w:t>
      </w:r>
    </w:p>
    <w:p w14:paraId="44144942">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投标人不足3家的，不得开标。评标委员会成员不得参加开标活动。</w:t>
      </w:r>
    </w:p>
    <w:p w14:paraId="46D86EA6">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20.2开标时，由投标人或其推选的代表检查投标文件的密封情况，经记录后，由采购人或采购组织机构当众拆封投标文件，宣读投标人名称、投标价格及招标文件规定的内容。对于投标人在投标截止时间前递交的投标声明，在开标时当众宣读，评标时有效。</w:t>
      </w:r>
    </w:p>
    <w:p w14:paraId="0293721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未宣读投标价格、价格折扣等实质内容，评标时不予承认。</w:t>
      </w:r>
    </w:p>
    <w:p w14:paraId="34C53A5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20.3采购人或采购组织机构将对开标过程进行记录，由参加开标的各投标人代表和相关工作人员签字确认，并存档备查。投标人未参加开标或未签字确认的，视同认可开标结果。</w:t>
      </w:r>
    </w:p>
    <w:p w14:paraId="05D817C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20.4投标人代表对开标过程和开标记录有疑义，以及认为采购人、采购组织机构相关工作人员有需要回避的情形的，应当场提出询问或者回避申请。</w:t>
      </w:r>
    </w:p>
    <w:p w14:paraId="15A2924C">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21.组建评标委员会</w:t>
      </w:r>
    </w:p>
    <w:p w14:paraId="4757BD09">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按照《中华人民共和国政府采购法》、《中华人民共和国政府采购法实施条例》有关规定依法组建评标委员会，负责本项目评标工作。本项目评标委员会组成详见投标人须知表21款。</w:t>
      </w:r>
    </w:p>
    <w:p w14:paraId="3699B2DA">
      <w:pPr>
        <w:adjustRightInd w:val="0"/>
        <w:snapToGrid w:val="0"/>
        <w:spacing w:line="360" w:lineRule="auto"/>
        <w:ind w:firstLine="240" w:firstLineChars="1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22.资格性审查</w:t>
      </w:r>
    </w:p>
    <w:p w14:paraId="5266653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22.1采购人或采购组织机构依据法律法规和招标文件中规定的内容，对投标人的资格进行审查，投标人应按照第二章《投标文件内容及格式》中的相应要求提交资格证明材料。未通过资格审查的投标人不能进入评标，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；通过资格审查的投标人不足3家的，不得评标。</w:t>
      </w:r>
    </w:p>
    <w:p w14:paraId="4D75050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22.2采购人或采购组织机构将在递交投标文件截止时间前一个工作日至资格审查结束前查询投标人的信用记录。投标人存在不良信用记录的，其投标将被认定为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468E61F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22.2.1不良信用记录指：投标人在中国政府采购网（www.ccgp.gov.cn）被列入政府采购严重违法失信行为记录名单，或在“信用中国”网站（www.creditchina.gov.cn）</w:t>
      </w:r>
      <w:r>
        <w:rPr>
          <w:rFonts w:hint="eastAsia" w:ascii="仿宋_GB2312" w:hAnsi="仿宋" w:eastAsia="仿宋_GB2312" w:cs="仿宋_GB2312"/>
          <w:color w:val="auto"/>
          <w:sz w:val="24"/>
          <w:szCs w:val="21"/>
          <w:highlight w:val="none"/>
        </w:rPr>
        <w:t>被列入失信被执行人、</w:t>
      </w:r>
      <w:r>
        <w:rPr>
          <w:rFonts w:hint="eastAsia" w:ascii="仿宋_GB2312" w:hAnsi="仿宋" w:eastAsia="仿宋_GB2312" w:cs="仿宋_GB2312"/>
          <w:color w:val="auto"/>
          <w:sz w:val="24"/>
          <w:szCs w:val="21"/>
          <w:highlight w:val="none"/>
          <w:lang w:val="en-US" w:eastAsia="zh-CN"/>
        </w:rPr>
        <w:t>重大</w:t>
      </w:r>
      <w:r>
        <w:rPr>
          <w:rFonts w:hint="eastAsia" w:ascii="仿宋_GB2312" w:hAnsi="仿宋" w:eastAsia="仿宋_GB2312" w:cs="仿宋_GB2312"/>
          <w:color w:val="auto"/>
          <w:sz w:val="24"/>
          <w:szCs w:val="21"/>
          <w:highlight w:val="none"/>
        </w:rPr>
        <w:t>税收违法</w:t>
      </w:r>
      <w:r>
        <w:rPr>
          <w:rFonts w:hint="eastAsia" w:ascii="仿宋_GB2312" w:hAnsi="仿宋" w:eastAsia="仿宋_GB2312" w:cs="仿宋_GB2312"/>
          <w:color w:val="auto"/>
          <w:sz w:val="24"/>
          <w:szCs w:val="21"/>
          <w:highlight w:val="none"/>
          <w:lang w:val="en-US" w:eastAsia="zh-CN"/>
        </w:rPr>
        <w:t>失信主体</w:t>
      </w:r>
      <w:r>
        <w:rPr>
          <w:rFonts w:hint="eastAsia" w:ascii="仿宋_GB2312" w:hAnsi="仿宋" w:eastAsia="仿宋_GB2312" w:cs="仿宋_GB2312"/>
          <w:color w:val="auto"/>
          <w:sz w:val="24"/>
          <w:szCs w:val="21"/>
          <w:highlight w:val="none"/>
        </w:rPr>
        <w:t>、政府采购严重违法失信行为记录名单，</w:t>
      </w:r>
      <w:r>
        <w:rPr>
          <w:rFonts w:hint="eastAsia" w:ascii="仿宋_GB2312" w:hAnsi="仿宋" w:eastAsia="仿宋_GB2312" w:cs="仿宋_GB2312"/>
          <w:color w:val="auto"/>
          <w:sz w:val="24"/>
          <w:highlight w:val="none"/>
        </w:rPr>
        <w:t>以及存在《中华人民共和国政府采购法实施条例》第十九条规定的行政处罚记录。</w:t>
      </w:r>
    </w:p>
    <w:p w14:paraId="5211FB0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以联合体形式参加投标的，联合体任何成员存在以上不良信用记录的，联合体投标将被认定为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2F1AE63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22.2.2查询及记录方式：采购人或采购组织机构经办人将查询网页打印并存档备查。投标人不良信用记录以采购人或采购组织机构查询结果为准。</w:t>
      </w:r>
    </w:p>
    <w:p w14:paraId="2A8EA91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在本招标文件规定的查询时间之后，网站信息发生的任何变更均不再作为评标依据。</w:t>
      </w:r>
    </w:p>
    <w:p w14:paraId="4CB6D156">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投标人自行提供的与网站信息不一致的其他证明材料亦不作为资格审查依据。</w:t>
      </w:r>
    </w:p>
    <w:p w14:paraId="526C31ED">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23.符合性审查</w:t>
      </w:r>
    </w:p>
    <w:p w14:paraId="2AA81D9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；通过符合性审查的投标人数量不足3家的，不得作进一步的比较和评价。</w:t>
      </w:r>
    </w:p>
    <w:p w14:paraId="5603C1F5">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24.投标文件的澄清</w:t>
      </w:r>
    </w:p>
    <w:p w14:paraId="5EDD452B">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作出书面澄清、说明、补正的，其投标将被作为无效投标处理。</w:t>
      </w:r>
    </w:p>
    <w:p w14:paraId="49B1EC1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24.2投标人的澄清、说明或补正将作为投标文件的一部分。</w:t>
      </w:r>
    </w:p>
    <w:p w14:paraId="3969652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24.3投标文件报价出现前后不一致的，按照下列规定修正：</w:t>
      </w:r>
    </w:p>
    <w:p w14:paraId="39567559">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（1）投标文件中开标一览表内容与投标文件中相应内容不一致的，以开标一览表为准；</w:t>
      </w:r>
    </w:p>
    <w:p w14:paraId="66FD197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（2）大写金额和小写金额不一致的，以大写金额为准；</w:t>
      </w:r>
    </w:p>
    <w:p w14:paraId="37CB679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（3）单价金额小数点或者百分比有明显错位的，以开标一览表的总价为准，并修改单价；</w:t>
      </w:r>
    </w:p>
    <w:p w14:paraId="4DBA264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（4）总价金额与按单价汇总金额不一致的，以单价金额计算结果为准。</w:t>
      </w:r>
    </w:p>
    <w:p w14:paraId="74A139A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同时出现两种以上不一致的，按照前款规定的顺序修正。修正后的报价经投标人确认后产生约束力，投标人不确认的，其投标将被认定为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79E6C782">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24.4</w:t>
      </w:r>
      <w:r>
        <w:rPr>
          <w:rFonts w:hint="eastAsia" w:ascii="仿宋_GB2312" w:hAnsi="仿宋" w:eastAsia="仿宋_GB2312" w:cs="仿宋_GB2312"/>
          <w:b/>
          <w:bCs/>
          <w:color w:val="auto"/>
          <w:sz w:val="24"/>
          <w:highlight w:val="none"/>
        </w:rPr>
        <w:t>评标委员会认为</w:t>
      </w:r>
      <w:r>
        <w:rPr>
          <w:rFonts w:hint="eastAsia" w:ascii="仿宋_GB2312" w:hAnsi="仿宋" w:eastAsia="仿宋_GB2312" w:cs="仿宋_GB2312"/>
          <w:color w:val="auto"/>
          <w:sz w:val="24"/>
          <w:highlight w:val="none"/>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Pr>
          <w:rFonts w:hint="eastAsia" w:ascii="仿宋_GB2312" w:hAnsi="仿宋" w:eastAsia="仿宋_GB2312" w:cs="仿宋_GB2312"/>
          <w:b/>
          <w:bCs/>
          <w:color w:val="auto"/>
          <w:sz w:val="24"/>
          <w:highlight w:val="none"/>
        </w:rPr>
        <w:t>无效投标</w:t>
      </w:r>
      <w:r>
        <w:rPr>
          <w:rFonts w:hint="eastAsia" w:ascii="仿宋_GB2312" w:hAnsi="仿宋" w:eastAsia="仿宋_GB2312" w:cs="仿宋_GB2312"/>
          <w:color w:val="auto"/>
          <w:sz w:val="24"/>
          <w:highlight w:val="none"/>
        </w:rPr>
        <w:t>处理。提交证明材料的合理时间按第四章 评标方法规定执行。</w:t>
      </w:r>
    </w:p>
    <w:p w14:paraId="6AA340A6">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25.样品及演示（本项目不适用）</w:t>
      </w:r>
    </w:p>
    <w:p w14:paraId="0E2E2E72">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25.1投标人须知表11.3款中要求投标人提供样品的，按照投标人须知表25.1款中样品的评审方法以及评审标准进行评审。</w:t>
      </w:r>
    </w:p>
    <w:p w14:paraId="7C8FDD5A">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14:paraId="34773B5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25.3演示的评审方法以及评审标准具体内容见投标人须知表25.1款。</w:t>
      </w:r>
    </w:p>
    <w:p w14:paraId="3D328F8D">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26.投标无效</w:t>
      </w:r>
    </w:p>
    <w:p w14:paraId="253FD142">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26.1在比较与评价之前，根据本须知的规定，评标委员会将审查每份投标文件是否实质上响应了招标文件的要求。</w:t>
      </w:r>
    </w:p>
    <w:p w14:paraId="06610571">
      <w:pPr>
        <w:adjustRightInd w:val="0"/>
        <w:snapToGrid w:val="0"/>
        <w:spacing w:line="360" w:lineRule="auto"/>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实质性要求是指招标文件中带有★号标识内容（包括本级及其下级编号中所有内容）等文字说明的要求。</w:t>
      </w:r>
    </w:p>
    <w:p w14:paraId="6DCDD8B6">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对招标文件的实质性要求进行响应是指与招标文件中带有★号标识内容的文字说明、条款、条件和规格等要求相符。</w:t>
      </w:r>
    </w:p>
    <w:p w14:paraId="077A2E6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如果投标文件没有对招标文件的实质性要求进行响应，将作为</w:t>
      </w:r>
      <w:r>
        <w:rPr>
          <w:rFonts w:hint="eastAsia" w:ascii="仿宋_GB2312" w:hAnsi="仿宋" w:eastAsia="仿宋_GB2312" w:cs="仿宋_GB2312"/>
          <w:b/>
          <w:bCs/>
          <w:color w:val="auto"/>
          <w:sz w:val="24"/>
          <w:highlight w:val="none"/>
        </w:rPr>
        <w:t>无效投标</w:t>
      </w:r>
      <w:r>
        <w:rPr>
          <w:rFonts w:hint="eastAsia" w:ascii="仿宋_GB2312" w:hAnsi="仿宋" w:eastAsia="仿宋_GB2312" w:cs="仿宋_GB2312"/>
          <w:color w:val="auto"/>
          <w:sz w:val="24"/>
          <w:highlight w:val="none"/>
        </w:rPr>
        <w:t>处理，投标人不得再对投标文件进行任何修正从而使其投标成为实质上响应的投标。</w:t>
      </w:r>
    </w:p>
    <w:p w14:paraId="7882597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评标委员会决定投标的响应性只根据招标文件要求、投标文件内容及财政主管部门指定媒体发布的相关信息。</w:t>
      </w:r>
    </w:p>
    <w:p w14:paraId="7E3451BE">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26.2如发现下列情况之一的，其投标将被认定为</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1AF26068">
      <w:pPr>
        <w:adjustRightInd w:val="0"/>
        <w:snapToGrid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（1）未按招标文件的规定提交投标保证金的；</w:t>
      </w:r>
    </w:p>
    <w:p w14:paraId="20834F69">
      <w:pPr>
        <w:adjustRightInd w:val="0"/>
        <w:snapToGrid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（2）未按照招标文件规定要求签署、盖章的；</w:t>
      </w:r>
    </w:p>
    <w:p w14:paraId="7F0BFD9C">
      <w:pPr>
        <w:adjustRightInd w:val="0"/>
        <w:snapToGrid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（3）投标人的报价超过了招标文件中规定的预算金额或者最高限价的；</w:t>
      </w:r>
    </w:p>
    <w:p w14:paraId="05AF78B0">
      <w:pPr>
        <w:adjustRightInd w:val="0"/>
        <w:snapToGrid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（4）不具备招标文件中规定的资格要求的；</w:t>
      </w:r>
    </w:p>
    <w:p w14:paraId="53CFE890">
      <w:pPr>
        <w:adjustRightInd w:val="0"/>
        <w:snapToGrid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（5）不符合法律、法规和招标文件中规定的其他实质性要求的；</w:t>
      </w:r>
    </w:p>
    <w:p w14:paraId="38C44A08">
      <w:pPr>
        <w:adjustRightInd w:val="0"/>
        <w:snapToGrid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（6）与其他投标人串通投标或者与采购人串通投标的；</w:t>
      </w:r>
    </w:p>
    <w:p w14:paraId="22698F96">
      <w:pPr>
        <w:adjustRightInd w:val="0"/>
        <w:snapToGrid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（7）评标委员会认为投标人的报价明显低于其他通过符合性审查投标人的报价，有可能影响履约的，且投标人未按照规定证明其报价合理性的；</w:t>
      </w:r>
    </w:p>
    <w:p w14:paraId="699A5C14">
      <w:pPr>
        <w:adjustRightInd w:val="0"/>
        <w:snapToGrid w:val="0"/>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（8）投标文件含有采购人不能接受的附加条件的；</w:t>
      </w:r>
    </w:p>
    <w:p w14:paraId="70D3383B">
      <w:pPr>
        <w:adjustRightInd w:val="0"/>
        <w:snapToGrid w:val="0"/>
        <w:spacing w:line="360" w:lineRule="auto"/>
        <w:ind w:firstLine="480" w:firstLineChars="200"/>
        <w:rPr>
          <w:rFonts w:hint="eastAsia" w:ascii="仿宋_GB2312" w:hAnsi="仿宋" w:eastAsia="仿宋_GB2312" w:cs="仿宋_GB2312"/>
          <w:b/>
          <w:color w:val="auto"/>
          <w:sz w:val="24"/>
          <w:highlight w:val="none"/>
          <w:lang w:eastAsia="zh-CN"/>
        </w:rPr>
      </w:pPr>
      <w:r>
        <w:rPr>
          <w:rFonts w:hint="eastAsia" w:ascii="仿宋_GB2312" w:hAnsi="仿宋" w:eastAsia="仿宋_GB2312" w:cs="仿宋_GB2312"/>
          <w:b/>
          <w:color w:val="auto"/>
          <w:sz w:val="24"/>
          <w:highlight w:val="none"/>
        </w:rPr>
        <w:t>（9）属于法律、法规和招标文件规定的其他投标无效情形的</w:t>
      </w:r>
      <w:r>
        <w:rPr>
          <w:rFonts w:hint="eastAsia" w:ascii="仿宋_GB2312" w:hAnsi="仿宋" w:eastAsia="仿宋_GB2312" w:cs="仿宋_GB2312"/>
          <w:b/>
          <w:color w:val="auto"/>
          <w:sz w:val="24"/>
          <w:highlight w:val="none"/>
          <w:lang w:eastAsia="zh-CN"/>
        </w:rPr>
        <w:t>。</w:t>
      </w:r>
    </w:p>
    <w:p w14:paraId="79F16C27">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27.比较与评价</w:t>
      </w:r>
    </w:p>
    <w:p w14:paraId="251FB85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27.1经符合性审查合格的投标文件，评标委员会将根据招标文件确定的评标方法和标准，对其技术部分和商务部分作进一步的比较和评价。</w:t>
      </w:r>
    </w:p>
    <w:p w14:paraId="4A3D83F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27.2评标严格按照招标文件的要求和条件进行。根据实际情况，在投标人须知表27.2款中规定采用下列一种评标方法，详细评标标准见第四章 评标方法。</w:t>
      </w:r>
    </w:p>
    <w:p w14:paraId="19F57C5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（1）最低评标价法，是指投标文件满足招标文件全部实质性要求，且投标报价最低的投标人为中标候选人的评标方法。</w:t>
      </w:r>
    </w:p>
    <w:p w14:paraId="27AC760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（2）综合评分法，是指投标文件满足招标文件全部实质性要求，且按照评审因素的量化指标评审得分最高的投标人为中标候选人的评标方法。</w:t>
      </w:r>
    </w:p>
    <w:p w14:paraId="517BD9E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27.3根据《财政部 工业和信息化部关于印发&lt;政府采购促进中小企业发展管理办法&gt;的通知》（财库[2020]46号）、《财政部司法部关于政府采购支持监狱企业发展有关问题的通知》（财库〔2014〕68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或省级以上监狱管理局、戒毒管理局（含新疆生产建设兵团）出具的属于监狱企业的证明文件的投标人，其投标报价扣除10-20%后参与评审。具体详见第四章 评标方法。</w:t>
      </w:r>
    </w:p>
    <w:p w14:paraId="2AB5AECB">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27.4依据国家确定的认证机构出具的、处于有效期之内的节能产品、环境标志产品认证证书实施政府优先采购。具体优先采购办法详见第四章 评标方法。</w:t>
      </w:r>
    </w:p>
    <w:p w14:paraId="7CA8A4FB">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27.5根据财政部、辽宁省财政厅相关规定，对于列入《辽宁省创新产品和服务目录》内的产品、服务实施政府优先采购。具体优先采购办法详见第四章 评标方法。</w:t>
      </w:r>
    </w:p>
    <w:p w14:paraId="1EFAB77B">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28.废标</w:t>
      </w:r>
    </w:p>
    <w:p w14:paraId="0A815AB7">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出现下列情形之一，将导致项目</w:t>
      </w:r>
      <w:r>
        <w:rPr>
          <w:rFonts w:hint="eastAsia" w:ascii="仿宋_GB2312" w:hAnsi="仿宋" w:eastAsia="仿宋_GB2312" w:cs="仿宋_GB2312"/>
          <w:b/>
          <w:bCs/>
          <w:color w:val="auto"/>
          <w:sz w:val="24"/>
          <w:highlight w:val="none"/>
        </w:rPr>
        <w:t>废标</w:t>
      </w:r>
      <w:r>
        <w:rPr>
          <w:rFonts w:hint="eastAsia" w:ascii="仿宋_GB2312" w:hAnsi="仿宋" w:eastAsia="仿宋_GB2312" w:cs="仿宋_GB2312"/>
          <w:color w:val="auto"/>
          <w:sz w:val="24"/>
          <w:highlight w:val="none"/>
        </w:rPr>
        <w:t>：</w:t>
      </w:r>
    </w:p>
    <w:p w14:paraId="272AFDA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（1）符合专业条件的投标人或者对招标文件做实质性响应的投标人不足3家的；</w:t>
      </w:r>
    </w:p>
    <w:p w14:paraId="30F7114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（2）出现影响采购公正的违法、违规行为的；</w:t>
      </w:r>
    </w:p>
    <w:p w14:paraId="468D6776">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（3）投标人的报价均超过了采购预算或最高限价，采购人不能支付的；</w:t>
      </w:r>
    </w:p>
    <w:p w14:paraId="7839CE4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（4）因重大变故，采购任务取消的。</w:t>
      </w:r>
    </w:p>
    <w:p w14:paraId="56EB6047">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29.中标候选人的推荐原则及标准</w:t>
      </w:r>
    </w:p>
    <w:p w14:paraId="2C0D4C8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29.1除第32条规定外，评标委员会将根据评标标准，对实质上响应招标文件的投标人按下列方法进行排序，推荐中标候选人：</w:t>
      </w:r>
    </w:p>
    <w:p w14:paraId="6FC65AD1">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14:paraId="6C9714B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（2）采用综合评分法的，评标结果按评审后得分由高到低顺序排序。得分相同的，按第四章评标办法规定执行。</w:t>
      </w:r>
    </w:p>
    <w:p w14:paraId="14815DEE">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29.2评标委员会将根据评标标准，按投标人须知表29.2款中规定的数量推荐中标候选人。</w:t>
      </w:r>
    </w:p>
    <w:p w14:paraId="3E7A7F3A">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29.3因推荐中标候选人名单产生其他问题，由评标委员会集体研究处理。</w:t>
      </w:r>
    </w:p>
    <w:p w14:paraId="24A48675">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30.保密原则</w:t>
      </w:r>
    </w:p>
    <w:p w14:paraId="4325944E">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30.1评标将在严格保密的情况下进行。</w:t>
      </w:r>
    </w:p>
    <w:p w14:paraId="352CE411">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30.2有关人员应当遵守评标工作纪律，不得泄露评审文件、评标情况和评标过程中获悉的国家秘密、商业秘密。</w:t>
      </w:r>
    </w:p>
    <w:p w14:paraId="12EA1859">
      <w:pPr>
        <w:pStyle w:val="3"/>
        <w:spacing w:before="120" w:after="120"/>
        <w:rPr>
          <w:rFonts w:ascii="仿宋_GB2312" w:hAnsi="仿宋" w:eastAsia="仿宋_GB2312" w:cs="仿宋_GB2312"/>
          <w:color w:val="auto"/>
          <w:sz w:val="32"/>
          <w:szCs w:val="28"/>
          <w:highlight w:val="none"/>
        </w:rPr>
      </w:pPr>
      <w:bookmarkStart w:id="71" w:name="_Toc4544_WPSOffice_Level2"/>
      <w:r>
        <w:rPr>
          <w:rFonts w:hint="eastAsia" w:ascii="仿宋_GB2312" w:hAnsi="仿宋" w:eastAsia="仿宋_GB2312" w:cs="仿宋_GB2312"/>
          <w:color w:val="auto"/>
          <w:sz w:val="32"/>
          <w:szCs w:val="28"/>
          <w:highlight w:val="none"/>
        </w:rPr>
        <w:t>七 确定中标</w:t>
      </w:r>
      <w:bookmarkEnd w:id="71"/>
    </w:p>
    <w:p w14:paraId="165A2AFC">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31.确定中标人</w:t>
      </w:r>
    </w:p>
    <w:p w14:paraId="1D0EAC1B">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由采购人或者采购人委托评标委员会按照投标人须知表31中规定的方式确定中标人。</w:t>
      </w:r>
    </w:p>
    <w:p w14:paraId="5EEB829F">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采购人在收到评标报告5个工作日内未按评标报告推荐的中标候选人顺序确定中标人，又不能说明合法理由的，视同按评标报告推荐的顺序确定排名第一的中标候选人为中标人。</w:t>
      </w:r>
    </w:p>
    <w:p w14:paraId="4472802B">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★32.采购任务取消</w:t>
      </w:r>
    </w:p>
    <w:p w14:paraId="15CD499B">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因重大变故采购任务取消时，采购人有权拒绝任何供应商中标，且对受影响的投标人不承担任何责任。</w:t>
      </w:r>
    </w:p>
    <w:p w14:paraId="3FA9FB29">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33.中标通知书</w:t>
      </w:r>
    </w:p>
    <w:p w14:paraId="2E5FE95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33.1采购人或者采购组织机构应当自中标人确定之日起2个工作日内，在辽宁政府采购网及其地方分网媒体上公告中标结果。同时向中标人发出中标通知书。</w:t>
      </w:r>
    </w:p>
    <w:p w14:paraId="4AB4264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33.2中标通知书是合同的组成部分。</w:t>
      </w:r>
    </w:p>
    <w:p w14:paraId="22761585">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34.签订合同</w:t>
      </w:r>
    </w:p>
    <w:p w14:paraId="32CAABB8">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34.1中标人应当自发出中标通知书之日起 30 日内，与采购人签订书面合同。</w:t>
      </w:r>
    </w:p>
    <w:p w14:paraId="62EF6EA9">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14:paraId="25A0743B">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34.3中标人拒绝与采购人签订合同的，采购人可以按照评标报告推荐的中标候选人名单排序，确定下一中标候选人为中标人，也可以重新开展政府采购活动。</w:t>
      </w:r>
    </w:p>
    <w:p w14:paraId="55B46F6C">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35.履约保证金（本项目不适用）</w:t>
      </w:r>
    </w:p>
    <w:p w14:paraId="068D8E35">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35.1中标人应按照投标人须知表35.1款规定向采购人缴纳履约保证金。</w:t>
      </w:r>
    </w:p>
    <w:p w14:paraId="1F03ACFC">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35.2如果中标人没有按照上述履约保证金的规定执行，将视为拒绝签订合同并放弃中标资格，中标人的投标保证金将不予退还。在此情况下，采购人可确定下一中标候选人为中标人，也可以重新开展采购活动。</w:t>
      </w:r>
    </w:p>
    <w:p w14:paraId="717B3A5C">
      <w:pPr>
        <w:adjustRightInd w:val="0"/>
        <w:snapToGrid w:val="0"/>
        <w:spacing w:line="360" w:lineRule="auto"/>
        <w:ind w:firstLine="240" w:firstLineChars="1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w:t>
      </w:r>
      <w:r>
        <w:rPr>
          <w:rFonts w:hint="eastAsia" w:ascii="仿宋_GB2312" w:hAnsi="仿宋" w:eastAsia="仿宋_GB2312" w:cs="仿宋_GB2312"/>
          <w:b/>
          <w:bCs/>
          <w:color w:val="auto"/>
          <w:sz w:val="24"/>
          <w:highlight w:val="none"/>
        </w:rPr>
        <w:t>36.采购代理服务费（本项目不适用）</w:t>
      </w:r>
    </w:p>
    <w:p w14:paraId="11D66872">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中标人须按照投标须知表36款规定，向采购组织机构支付采购代理服务费。</w:t>
      </w:r>
    </w:p>
    <w:p w14:paraId="5E32BCB9">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37.廉洁自律规定</w:t>
      </w:r>
    </w:p>
    <w:p w14:paraId="32E88AC3">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37.1采购组织机构工作人员不得以不正当手段获取政府采购代理业务，不得与采购人、投标人恶意串通操纵政府采购活动。</w:t>
      </w:r>
    </w:p>
    <w:p w14:paraId="760D75F6">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37.2采购组织机构工作人员不得接受采购人或者投标人组织的宴请、旅游、娱乐，不得收受礼品、现金、有价证券等，不得向采购人或者投标人报销应当由个人承担的费用。</w:t>
      </w:r>
    </w:p>
    <w:p w14:paraId="6FB6C077">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38.人员回避</w:t>
      </w:r>
    </w:p>
    <w:p w14:paraId="58A62879">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投标人认为采购人及其相关人员有法律法规所列与其他投标人有利害关系的，可以向采购人或采购组织机构书面提出回避申请，并说明理由。</w:t>
      </w:r>
    </w:p>
    <w:p w14:paraId="5ABA4603">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39.质疑与接收</w:t>
      </w:r>
    </w:p>
    <w:p w14:paraId="35DEFD0D">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组织机构提出质疑。</w:t>
      </w:r>
    </w:p>
    <w:p w14:paraId="676A758E">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39.2质疑投标人应按照财政部门制定的《政府采购质疑函范本》格式（详见辽宁政府采购网）和《政府采购质疑和投诉办法》的要求，在法定质疑期内以纸质形式提出质疑，针对同一采购程序环节的质疑应一次性提出。</w:t>
      </w:r>
    </w:p>
    <w:p w14:paraId="70A57F40">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超出法定质疑期的、重复提出的、分次提出的或内容、形式不符合《政府采购质疑和投诉办法》的，质疑投标人将依法承担不利后果。</w:t>
      </w:r>
    </w:p>
    <w:p w14:paraId="71720FED">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39.3采购组织机构质疑函接收部门、联系电话和通讯地址, 见投标人须知表39.3款。</w:t>
      </w:r>
    </w:p>
    <w:p w14:paraId="43FF09A2">
      <w:pPr>
        <w:adjustRightInd w:val="0"/>
        <w:snapToGrid w:val="0"/>
        <w:spacing w:line="360" w:lineRule="auto"/>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40.履约验收</w:t>
      </w:r>
    </w:p>
    <w:p w14:paraId="456FCFFB">
      <w:pPr>
        <w:adjustRightInd w:val="0"/>
        <w:snapToGrid w:val="0"/>
        <w:spacing w:line="360" w:lineRule="auto"/>
        <w:ind w:firstLine="456" w:firstLineChars="200"/>
        <w:rPr>
          <w:rFonts w:ascii="仿宋_GB2312" w:hAnsi="仿宋" w:eastAsia="仿宋_GB2312" w:cs="仿宋_GB2312"/>
          <w:b/>
          <w:color w:val="auto"/>
          <w:sz w:val="24"/>
          <w:szCs w:val="32"/>
          <w:highlight w:val="none"/>
        </w:rPr>
        <w:sectPr>
          <w:footerReference r:id="rId8" w:type="default"/>
          <w:pgSz w:w="11906" w:h="16838"/>
          <w:pgMar w:top="1594" w:right="1800" w:bottom="1440" w:left="1800" w:header="993" w:footer="992" w:gutter="0"/>
          <w:pgBorders>
            <w:top w:val="none" w:sz="0" w:space="0"/>
            <w:left w:val="none" w:sz="0" w:space="0"/>
            <w:bottom w:val="none" w:sz="0" w:space="0"/>
            <w:right w:val="none" w:sz="0" w:space="0"/>
          </w:pgBorders>
          <w:pgNumType w:start="1"/>
          <w:cols w:space="720" w:num="1"/>
          <w:docGrid w:type="linesAndChars" w:linePitch="312" w:charSpace="0"/>
        </w:sectPr>
      </w:pPr>
      <w:r>
        <w:rPr>
          <w:rFonts w:hint="eastAsia" w:ascii="仿宋_GB2312" w:hAnsi="仿宋" w:eastAsia="仿宋_GB2312" w:cs="仿宋_GB2312"/>
          <w:color w:val="auto"/>
          <w:spacing w:val="-6"/>
          <w:sz w:val="24"/>
          <w:highlight w:val="none"/>
        </w:rPr>
        <w:t>本项目采购人及其委托的采购组织机构将严格按照政府采购相关法律法规以及《辽宁省政府采购履约验收管理办法》（辽财采〔2017〕603号）的要求进行验收</w:t>
      </w:r>
      <w:r>
        <w:rPr>
          <w:rFonts w:hint="eastAsia" w:ascii="仿宋_GB2312" w:hAnsi="仿宋" w:eastAsia="仿宋_GB2312" w:cs="仿宋_GB2312"/>
          <w:color w:val="auto"/>
          <w:sz w:val="24"/>
          <w:highlight w:val="none"/>
        </w:rPr>
        <w:t>。</w:t>
      </w:r>
    </w:p>
    <w:p w14:paraId="03A59EE5">
      <w:pPr>
        <w:pStyle w:val="2"/>
        <w:adjustRightInd w:val="0"/>
        <w:snapToGrid w:val="0"/>
        <w:spacing w:before="319" w:beforeLines="100" w:after="319" w:afterLines="100"/>
        <w:rPr>
          <w:rFonts w:ascii="方正小标宋简体" w:hAnsi="仿宋" w:eastAsia="方正小标宋简体" w:cs="仿宋_GB2312"/>
          <w:b w:val="0"/>
          <w:bCs/>
          <w:color w:val="auto"/>
          <w:highlight w:val="none"/>
        </w:rPr>
      </w:pPr>
      <w:bookmarkStart w:id="72" w:name="_Toc21783"/>
      <w:bookmarkStart w:id="73" w:name="_Toc111013452"/>
      <w:bookmarkStart w:id="74" w:name="_Toc17725_WPSOffice_Level1"/>
      <w:bookmarkStart w:id="75" w:name="sys_资格性证明材料：Document"/>
      <w:bookmarkStart w:id="76" w:name="_Toc22359_WPSOffice_Level2"/>
      <w:bookmarkStart w:id="77" w:name="资格性证明材料：Document"/>
      <w:bookmarkStart w:id="78" w:name="_Toc25206_WPSOffice_Level2"/>
      <w:r>
        <w:rPr>
          <w:rFonts w:hint="eastAsia" w:ascii="方正小标宋简体" w:hAnsi="仿宋" w:eastAsia="方正小标宋简体" w:cs="仿宋_GB2312"/>
          <w:b w:val="0"/>
          <w:bCs/>
          <w:color w:val="auto"/>
          <w:highlight w:val="none"/>
        </w:rPr>
        <w:t>第二章 投标文件内容及格式</w:t>
      </w:r>
      <w:bookmarkEnd w:id="72"/>
      <w:bookmarkEnd w:id="73"/>
      <w:bookmarkEnd w:id="74"/>
    </w:p>
    <w:p w14:paraId="125328B9">
      <w:pPr>
        <w:spacing w:before="159" w:beforeLines="50"/>
        <w:rPr>
          <w:rFonts w:ascii="仿宋_GB2312" w:hAnsi="仿宋" w:eastAsia="仿宋_GB2312" w:cs="仿宋_GB2312"/>
          <w:b/>
          <w:color w:val="auto"/>
          <w:sz w:val="24"/>
          <w:highlight w:val="none"/>
        </w:rPr>
      </w:pPr>
      <w:bookmarkStart w:id="79" w:name="投标文件内容及格式：Block"/>
      <w:bookmarkEnd w:id="79"/>
      <w:bookmarkStart w:id="80" w:name="sys_投标文件内容及格式：Block"/>
      <w:bookmarkEnd w:id="80"/>
      <w:bookmarkStart w:id="81" w:name="_Toc2481_WPSOffice_Level2"/>
      <w:bookmarkStart w:id="82" w:name="_Toc1538_WPSOffice_Level2"/>
      <w:r>
        <w:rPr>
          <w:rFonts w:hint="eastAsia" w:ascii="仿宋_GB2312" w:hAnsi="仿宋" w:eastAsia="仿宋_GB2312" w:cs="仿宋_GB2312"/>
          <w:b/>
          <w:color w:val="auto"/>
          <w:sz w:val="24"/>
          <w:highlight w:val="none"/>
        </w:rPr>
        <w:t>一、投标文件、电子文档的外封面、封口、封皮及目录</w:t>
      </w:r>
      <w:bookmarkEnd w:id="81"/>
      <w:bookmarkEnd w:id="82"/>
    </w:p>
    <w:tbl>
      <w:tblPr>
        <w:tblStyle w:val="25"/>
        <w:tblW w:w="83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7"/>
        <w:gridCol w:w="6896"/>
        <w:gridCol w:w="742"/>
      </w:tblGrid>
      <w:tr w14:paraId="6AA89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blHeader/>
          <w:jc w:val="center"/>
        </w:trPr>
        <w:tc>
          <w:tcPr>
            <w:tcW w:w="757" w:type="dxa"/>
            <w:vAlign w:val="center"/>
          </w:tcPr>
          <w:p w14:paraId="18070296">
            <w:pPr>
              <w:widowControl/>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序号</w:t>
            </w:r>
          </w:p>
        </w:tc>
        <w:tc>
          <w:tcPr>
            <w:tcW w:w="6896" w:type="dxa"/>
            <w:vAlign w:val="center"/>
          </w:tcPr>
          <w:p w14:paraId="276A0899">
            <w:pPr>
              <w:widowControl/>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内容</w:t>
            </w:r>
          </w:p>
        </w:tc>
        <w:tc>
          <w:tcPr>
            <w:tcW w:w="742" w:type="dxa"/>
            <w:vAlign w:val="center"/>
          </w:tcPr>
          <w:p w14:paraId="0A0747AC">
            <w:pPr>
              <w:widowControl/>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格式</w:t>
            </w:r>
          </w:p>
        </w:tc>
      </w:tr>
      <w:tr w14:paraId="560EF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14:paraId="4AC0BAC3">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p>
        </w:tc>
        <w:tc>
          <w:tcPr>
            <w:tcW w:w="6896" w:type="dxa"/>
            <w:vAlign w:val="center"/>
          </w:tcPr>
          <w:p w14:paraId="644E45D0">
            <w:pPr>
              <w:widowControl/>
              <w:adjustRightInd w:val="0"/>
              <w:snapToGrid w:val="0"/>
              <w:jc w:val="left"/>
              <w:rPr>
                <w:rFonts w:ascii="仿宋_GB2312" w:hAnsi="仿宋" w:eastAsia="仿宋_GB2312" w:cs="仿宋_GB2312"/>
                <w:b/>
                <w:color w:val="auto"/>
                <w:kern w:val="0"/>
                <w:sz w:val="24"/>
                <w:highlight w:val="none"/>
              </w:rPr>
            </w:pPr>
            <w:r>
              <w:rPr>
                <w:rFonts w:hint="eastAsia" w:ascii="仿宋_GB2312" w:hAnsi="仿宋" w:eastAsia="仿宋_GB2312" w:cs="仿宋_GB2312"/>
                <w:color w:val="auto"/>
                <w:kern w:val="0"/>
                <w:sz w:val="24"/>
                <w:highlight w:val="none"/>
              </w:rPr>
              <w:t>投标文件、电子文档的外封面及封口</w:t>
            </w:r>
          </w:p>
        </w:tc>
        <w:tc>
          <w:tcPr>
            <w:tcW w:w="742" w:type="dxa"/>
            <w:vAlign w:val="center"/>
          </w:tcPr>
          <w:p w14:paraId="754F32F8">
            <w:pPr>
              <w:widowControl/>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p>
        </w:tc>
      </w:tr>
      <w:tr w14:paraId="5E209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14:paraId="548CBFA4">
            <w:pPr>
              <w:widowControl/>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w:t>
            </w:r>
          </w:p>
        </w:tc>
        <w:tc>
          <w:tcPr>
            <w:tcW w:w="6896" w:type="dxa"/>
            <w:vAlign w:val="center"/>
          </w:tcPr>
          <w:p w14:paraId="40FAC679">
            <w:pPr>
              <w:widowControl/>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投标文件的封皮</w:t>
            </w:r>
          </w:p>
        </w:tc>
        <w:tc>
          <w:tcPr>
            <w:tcW w:w="742" w:type="dxa"/>
            <w:vAlign w:val="center"/>
          </w:tcPr>
          <w:p w14:paraId="789B4F3F">
            <w:pPr>
              <w:widowControl/>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w:t>
            </w:r>
          </w:p>
        </w:tc>
      </w:tr>
      <w:tr w14:paraId="4AB3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7" w:type="dxa"/>
            <w:vAlign w:val="center"/>
          </w:tcPr>
          <w:p w14:paraId="44782055">
            <w:pPr>
              <w:widowControl/>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w:t>
            </w:r>
          </w:p>
        </w:tc>
        <w:tc>
          <w:tcPr>
            <w:tcW w:w="6896" w:type="dxa"/>
            <w:vAlign w:val="center"/>
          </w:tcPr>
          <w:p w14:paraId="675E7AB0">
            <w:pPr>
              <w:widowControl/>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投标文件的目录</w:t>
            </w:r>
          </w:p>
        </w:tc>
        <w:tc>
          <w:tcPr>
            <w:tcW w:w="742" w:type="dxa"/>
            <w:vAlign w:val="center"/>
          </w:tcPr>
          <w:p w14:paraId="50718C3C">
            <w:pPr>
              <w:widowControl/>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w:t>
            </w:r>
          </w:p>
        </w:tc>
      </w:tr>
    </w:tbl>
    <w:p w14:paraId="434288C9">
      <w:pPr>
        <w:snapToGrid w:val="0"/>
        <w:spacing w:before="159" w:beforeLines="50"/>
        <w:rPr>
          <w:rFonts w:ascii="仿宋_GB2312" w:hAnsi="仿宋" w:eastAsia="仿宋_GB2312" w:cs="仿宋_GB2312"/>
          <w:b/>
          <w:color w:val="auto"/>
          <w:sz w:val="24"/>
          <w:highlight w:val="none"/>
        </w:rPr>
      </w:pPr>
      <w:bookmarkStart w:id="83" w:name="_Toc1266_WPSOffice_Level2"/>
      <w:bookmarkStart w:id="84" w:name="_Toc31052_WPSOffice_Level2"/>
      <w:r>
        <w:rPr>
          <w:rFonts w:hint="eastAsia" w:ascii="仿宋_GB2312" w:hAnsi="仿宋" w:eastAsia="仿宋_GB2312" w:cs="仿宋_GB2312"/>
          <w:b/>
          <w:color w:val="auto"/>
          <w:sz w:val="24"/>
          <w:highlight w:val="none"/>
        </w:rPr>
        <w:t>二、资格性证明材料</w:t>
      </w:r>
      <w:bookmarkEnd w:id="83"/>
      <w:bookmarkEnd w:id="84"/>
      <w:r>
        <w:rPr>
          <w:rFonts w:hint="eastAsia" w:ascii="仿宋_GB2312" w:hAnsi="仿宋" w:eastAsia="仿宋_GB2312" w:cs="仿宋_GB2312"/>
          <w:b/>
          <w:color w:val="auto"/>
          <w:sz w:val="24"/>
          <w:highlight w:val="none"/>
        </w:rPr>
        <w:t>（有一项不符合要求，不能进入下一阶段评审）</w:t>
      </w:r>
    </w:p>
    <w:tbl>
      <w:tblPr>
        <w:tblStyle w:val="25"/>
        <w:tblW w:w="8418" w:type="dxa"/>
        <w:jc w:val="center"/>
        <w:tblLayout w:type="fixed"/>
        <w:tblCellMar>
          <w:top w:w="0" w:type="dxa"/>
          <w:left w:w="0" w:type="dxa"/>
          <w:bottom w:w="0" w:type="dxa"/>
          <w:right w:w="0" w:type="dxa"/>
        </w:tblCellMar>
      </w:tblPr>
      <w:tblGrid>
        <w:gridCol w:w="768"/>
        <w:gridCol w:w="6895"/>
        <w:gridCol w:w="755"/>
      </w:tblGrid>
      <w:tr w14:paraId="54CCE968">
        <w:tblPrEx>
          <w:tblCellMar>
            <w:top w:w="0" w:type="dxa"/>
            <w:left w:w="0" w:type="dxa"/>
            <w:bottom w:w="0" w:type="dxa"/>
            <w:right w:w="0" w:type="dxa"/>
          </w:tblCellMar>
        </w:tblPrEx>
        <w:trPr>
          <w:trHeight w:val="539" w:hRule="atLeast"/>
          <w:tblHeader/>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AE324B5">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序号</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DCD6F2">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资格性证明材料</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C71578">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格式</w:t>
            </w:r>
          </w:p>
        </w:tc>
      </w:tr>
      <w:tr w14:paraId="2D4111AB">
        <w:tblPrEx>
          <w:tblCellMar>
            <w:top w:w="0" w:type="dxa"/>
            <w:left w:w="0" w:type="dxa"/>
            <w:bottom w:w="0" w:type="dxa"/>
            <w:right w:w="0" w:type="dxa"/>
          </w:tblCellMar>
        </w:tblPrEx>
        <w:trPr>
          <w:trHeight w:val="998"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534EA3">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DD1533">
            <w:pPr>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营业执照或事业单位法人证书或执业许可证等证明文件复印件或自然人的身份证明复印件（自然人身份证明仅在自然人作为投标主体时适用）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22A333">
            <w:pPr>
              <w:adjustRightInd w:val="0"/>
              <w:snapToGrid w:val="0"/>
              <w:jc w:val="center"/>
              <w:rPr>
                <w:rFonts w:ascii="仿宋_GB2312" w:hAnsi="仿宋" w:eastAsia="仿宋_GB2312" w:cs="仿宋_GB2312"/>
                <w:color w:val="auto"/>
                <w:sz w:val="24"/>
                <w:highlight w:val="none"/>
              </w:rPr>
            </w:pPr>
          </w:p>
        </w:tc>
      </w:tr>
      <w:tr w14:paraId="01411B19">
        <w:tblPrEx>
          <w:tblCellMar>
            <w:top w:w="0" w:type="dxa"/>
            <w:left w:w="0" w:type="dxa"/>
            <w:bottom w:w="0" w:type="dxa"/>
            <w:right w:w="0" w:type="dxa"/>
          </w:tblCellMar>
        </w:tblPrEx>
        <w:trPr>
          <w:trHeight w:val="638"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33B787D">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24BE80">
            <w:pPr>
              <w:widowControl/>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法定代表人（或非法人组织负责人）身份证明书（自然人投标的无需提供）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96E134">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r>
      <w:tr w14:paraId="14B2C4BB">
        <w:tblPrEx>
          <w:tblCellMar>
            <w:top w:w="0" w:type="dxa"/>
            <w:left w:w="0" w:type="dxa"/>
            <w:bottom w:w="0" w:type="dxa"/>
            <w:right w:w="0" w:type="dxa"/>
          </w:tblCellMar>
        </w:tblPrEx>
        <w:trPr>
          <w:trHeight w:val="684"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9B716A">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560FEA">
            <w:pPr>
              <w:widowControl/>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法定代表人（或非法人组织负责人）授权委托书（授权委托人参加投标的须提供）</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2658934">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r>
      <w:tr w14:paraId="4F562BE7">
        <w:tblPrEx>
          <w:tblCellMar>
            <w:top w:w="0" w:type="dxa"/>
            <w:left w:w="0" w:type="dxa"/>
            <w:bottom w:w="0" w:type="dxa"/>
            <w:right w:w="0" w:type="dxa"/>
          </w:tblCellMar>
        </w:tblPrEx>
        <w:trPr>
          <w:trHeight w:val="695"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30552D">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15C34E">
            <w:pPr>
              <w:widowControl/>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具有良好的商业信誉和健全的财务会计制度的承诺函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BAC8F2">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r>
      <w:tr w14:paraId="089C2AEA">
        <w:tblPrEx>
          <w:tblCellMar>
            <w:top w:w="0" w:type="dxa"/>
            <w:left w:w="0" w:type="dxa"/>
            <w:bottom w:w="0" w:type="dxa"/>
            <w:right w:w="0" w:type="dxa"/>
          </w:tblCellMar>
        </w:tblPrEx>
        <w:trPr>
          <w:trHeight w:val="1016"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4AE1EC">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C4D98A">
            <w:pPr>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开标时间前</w:t>
            </w:r>
            <w:r>
              <w:rPr>
                <w:rFonts w:hint="eastAsia" w:ascii="仿宋_GB2312" w:hAnsi="仿宋_GB2312" w:eastAsia="仿宋_GB2312" w:cs="仿宋_GB2312"/>
                <w:color w:val="auto"/>
                <w:sz w:val="24"/>
                <w:highlight w:val="none"/>
              </w:rPr>
              <w:t>六个月内任一个月的依法缴纳税收的缴款凭据</w:t>
            </w:r>
            <w:r>
              <w:rPr>
                <w:rFonts w:hint="eastAsia" w:ascii="仿宋_GB2312" w:hAnsi="仿宋_GB2312" w:eastAsia="仿宋_GB2312" w:cs="仿宋_GB2312"/>
                <w:b/>
                <w:bCs/>
                <w:color w:val="auto"/>
                <w:sz w:val="24"/>
                <w:highlight w:val="none"/>
              </w:rPr>
              <w:t>（</w:t>
            </w:r>
            <w:r>
              <w:rPr>
                <w:rFonts w:hint="eastAsia" w:ascii="仿宋_GB2312" w:hAnsi="仿宋" w:eastAsia="仿宋_GB2312"/>
                <w:b/>
                <w:color w:val="auto"/>
                <w:sz w:val="24"/>
                <w:highlight w:val="none"/>
              </w:rPr>
              <w:t>增值税等）</w:t>
            </w:r>
            <w:r>
              <w:rPr>
                <w:rFonts w:hint="eastAsia" w:ascii="仿宋_GB2312" w:hAnsi="仿宋" w:eastAsia="仿宋_GB2312"/>
                <w:bCs/>
                <w:color w:val="auto"/>
                <w:sz w:val="24"/>
                <w:highlight w:val="none"/>
              </w:rPr>
              <w:t>复印件</w:t>
            </w:r>
            <w:r>
              <w:rPr>
                <w:rFonts w:hint="eastAsia" w:ascii="仿宋_GB2312" w:hAnsi="仿宋" w:eastAsia="仿宋_GB2312"/>
                <w:bCs/>
                <w:color w:val="auto"/>
                <w:sz w:val="24"/>
                <w:highlight w:val="none"/>
                <w:lang w:val="en-US" w:eastAsia="zh-CN"/>
              </w:rPr>
              <w:t>加盖公章</w:t>
            </w:r>
            <w:r>
              <w:rPr>
                <w:rFonts w:hint="eastAsia" w:ascii="仿宋_GB2312" w:hAnsi="仿宋" w:eastAsia="仿宋_GB2312"/>
                <w:color w:val="auto"/>
                <w:sz w:val="24"/>
                <w:highlight w:val="none"/>
              </w:rPr>
              <w:t>（注：依法免税的供应商，应提供相关证明材料，包括相关法规要求原文及加盖单位公章的情况说明）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2F05A1">
            <w:pPr>
              <w:adjustRightInd w:val="0"/>
              <w:snapToGrid w:val="0"/>
              <w:jc w:val="center"/>
              <w:rPr>
                <w:rFonts w:ascii="仿宋_GB2312" w:hAnsi="仿宋" w:eastAsia="仿宋_GB2312" w:cs="仿宋_GB2312"/>
                <w:color w:val="auto"/>
                <w:sz w:val="24"/>
                <w:highlight w:val="none"/>
              </w:rPr>
            </w:pPr>
          </w:p>
        </w:tc>
      </w:tr>
      <w:tr w14:paraId="30E97671">
        <w:tblPrEx>
          <w:tblCellMar>
            <w:top w:w="0" w:type="dxa"/>
            <w:left w:w="0" w:type="dxa"/>
            <w:bottom w:w="0" w:type="dxa"/>
            <w:right w:w="0" w:type="dxa"/>
          </w:tblCellMar>
        </w:tblPrEx>
        <w:trPr>
          <w:trHeight w:val="1329"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FFF58B">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3F3200">
            <w:pPr>
              <w:widowControl/>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开标时间前六个月内任一个月的依法缴纳社会保障资金的缴款凭据复印件</w:t>
            </w:r>
            <w:r>
              <w:rPr>
                <w:rFonts w:hint="eastAsia" w:ascii="仿宋_GB2312" w:hAnsi="仿宋" w:eastAsia="仿宋_GB2312"/>
                <w:bCs/>
                <w:color w:val="auto"/>
                <w:sz w:val="24"/>
                <w:highlight w:val="none"/>
                <w:lang w:val="en-US" w:eastAsia="zh-CN"/>
              </w:rPr>
              <w:t>加盖公章</w:t>
            </w:r>
            <w:r>
              <w:rPr>
                <w:rFonts w:hint="eastAsia" w:ascii="仿宋_GB2312" w:hAnsi="仿宋" w:eastAsia="仿宋_GB2312" w:cs="仿宋_GB2312"/>
                <w:color w:val="auto"/>
                <w:sz w:val="24"/>
                <w:highlight w:val="none"/>
              </w:rPr>
              <w:t>（注：依法不需要缴纳社会保障资金的投标人，应提供相关证明材料，包括相关法规要求原文及加盖单位公章的情况说明）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85335AC">
            <w:pPr>
              <w:adjustRightInd w:val="0"/>
              <w:snapToGrid w:val="0"/>
              <w:jc w:val="center"/>
              <w:rPr>
                <w:rFonts w:ascii="仿宋_GB2312" w:hAnsi="仿宋" w:eastAsia="仿宋_GB2312" w:cs="仿宋_GB2312"/>
                <w:color w:val="auto"/>
                <w:sz w:val="24"/>
                <w:highlight w:val="none"/>
              </w:rPr>
            </w:pPr>
          </w:p>
        </w:tc>
      </w:tr>
      <w:tr w14:paraId="0E3B97FE">
        <w:tblPrEx>
          <w:tblCellMar>
            <w:top w:w="0" w:type="dxa"/>
            <w:left w:w="0" w:type="dxa"/>
            <w:bottom w:w="0" w:type="dxa"/>
            <w:right w:w="0" w:type="dxa"/>
          </w:tblCellMar>
        </w:tblPrEx>
        <w:trPr>
          <w:trHeight w:val="680"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F33101">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CAFB87">
            <w:pPr>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具备履行合同所必需的设备和专业技术能力声明函</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4AF67A">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7</w:t>
            </w:r>
          </w:p>
        </w:tc>
      </w:tr>
      <w:tr w14:paraId="51F2B7AC">
        <w:tblPrEx>
          <w:tblCellMar>
            <w:top w:w="0" w:type="dxa"/>
            <w:left w:w="0" w:type="dxa"/>
            <w:bottom w:w="0" w:type="dxa"/>
            <w:right w:w="0" w:type="dxa"/>
          </w:tblCellMar>
        </w:tblPrEx>
        <w:trPr>
          <w:trHeight w:val="791"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94E2D5">
            <w:pPr>
              <w:adjustRightInd w:val="0"/>
              <w:snapToGrid w:val="0"/>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8</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1BA8FA">
            <w:pPr>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参加政府采购活动前3年内在经营活动中没有重大违法记录的声明</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0600CA">
            <w:pPr>
              <w:adjustRightInd w:val="0"/>
              <w:snapToGrid w:val="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8</w:t>
            </w:r>
          </w:p>
        </w:tc>
      </w:tr>
      <w:tr w14:paraId="61228BBC">
        <w:tblPrEx>
          <w:tblCellMar>
            <w:top w:w="0" w:type="dxa"/>
            <w:left w:w="0" w:type="dxa"/>
            <w:bottom w:w="0" w:type="dxa"/>
            <w:right w:w="0" w:type="dxa"/>
          </w:tblCellMar>
        </w:tblPrEx>
        <w:trPr>
          <w:trHeight w:val="859"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B1E6E3">
            <w:pPr>
              <w:adjustRightInd w:val="0"/>
              <w:snapToGrid w:val="0"/>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lang w:val="en-US" w:eastAsia="zh-CN"/>
              </w:rPr>
              <w:t>9</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047AF9">
            <w:pPr>
              <w:adjustRightInd w:val="0"/>
              <w:snapToGrid w:val="0"/>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信用记录(采购人或采购代理机构将在招标文件规定的审查期间内进行查询)</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829C17">
            <w:pPr>
              <w:adjustRightInd w:val="0"/>
              <w:snapToGrid w:val="0"/>
              <w:jc w:val="center"/>
              <w:rPr>
                <w:rFonts w:ascii="仿宋_GB2312" w:hAnsi="仿宋" w:eastAsia="仿宋_GB2312" w:cs="仿宋_GB2312"/>
                <w:color w:val="auto"/>
                <w:sz w:val="24"/>
                <w:highlight w:val="none"/>
              </w:rPr>
            </w:pPr>
          </w:p>
        </w:tc>
      </w:tr>
      <w:tr w14:paraId="355F97F4">
        <w:tblPrEx>
          <w:tblCellMar>
            <w:top w:w="0" w:type="dxa"/>
            <w:left w:w="0" w:type="dxa"/>
            <w:bottom w:w="0" w:type="dxa"/>
            <w:right w:w="0" w:type="dxa"/>
          </w:tblCellMar>
        </w:tblPrEx>
        <w:trPr>
          <w:trHeight w:val="797" w:hRule="atLeast"/>
          <w:jc w:val="center"/>
        </w:trPr>
        <w:tc>
          <w:tcPr>
            <w:tcW w:w="7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C5D1CD4">
            <w:pPr>
              <w:adjustRightInd w:val="0"/>
              <w:snapToGrid w:val="0"/>
              <w:jc w:val="center"/>
              <w:rPr>
                <w:rFonts w:hint="default" w:ascii="仿宋_GB2312" w:hAnsi="仿宋" w:eastAsia="仿宋_GB2312" w:cs="仿宋_GB2312"/>
                <w:color w:val="auto"/>
                <w:sz w:val="24"/>
                <w:highlight w:val="none"/>
                <w:lang w:val="en-US" w:eastAsia="zh-CN"/>
              </w:rPr>
            </w:pPr>
            <w:r>
              <w:rPr>
                <w:rFonts w:hint="eastAsia" w:ascii="仿宋_GB2312" w:hAnsi="仿宋" w:eastAsia="仿宋_GB2312" w:cs="仿宋_GB2312"/>
                <w:color w:val="auto"/>
                <w:sz w:val="24"/>
                <w:highlight w:val="none"/>
                <w:lang w:val="en-US" w:eastAsia="zh-CN"/>
              </w:rPr>
              <w:t>10</w:t>
            </w:r>
          </w:p>
        </w:tc>
        <w:tc>
          <w:tcPr>
            <w:tcW w:w="6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43C18A">
            <w:pPr>
              <w:adjustRightInd w:val="0"/>
              <w:snapToGrid w:val="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联合体协议书（本项目不适用）</w:t>
            </w:r>
          </w:p>
        </w:tc>
        <w:tc>
          <w:tcPr>
            <w:tcW w:w="75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E585D20">
            <w:pPr>
              <w:adjustRightInd w:val="0"/>
              <w:snapToGrid w:val="0"/>
              <w:jc w:val="center"/>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9</w:t>
            </w:r>
          </w:p>
        </w:tc>
      </w:tr>
      <w:bookmarkEnd w:id="75"/>
      <w:bookmarkEnd w:id="76"/>
      <w:bookmarkEnd w:id="77"/>
      <w:bookmarkEnd w:id="78"/>
    </w:tbl>
    <w:p w14:paraId="77202D8C">
      <w:pPr>
        <w:snapToGrid w:val="0"/>
        <w:spacing w:before="159" w:beforeLines="5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三、符合性证明材料（有一项不符合要求，不能进入下一阶段评审）</w:t>
      </w:r>
    </w:p>
    <w:tbl>
      <w:tblPr>
        <w:tblStyle w:val="25"/>
        <w:tblW w:w="83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861"/>
        <w:gridCol w:w="752"/>
      </w:tblGrid>
      <w:tr w14:paraId="60BD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blHeader/>
          <w:jc w:val="center"/>
        </w:trPr>
        <w:tc>
          <w:tcPr>
            <w:tcW w:w="760" w:type="dxa"/>
            <w:vAlign w:val="center"/>
          </w:tcPr>
          <w:p w14:paraId="3E910CF1">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序号</w:t>
            </w:r>
          </w:p>
        </w:tc>
        <w:tc>
          <w:tcPr>
            <w:tcW w:w="6861" w:type="dxa"/>
            <w:vAlign w:val="center"/>
          </w:tcPr>
          <w:p w14:paraId="0B03FA1B">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符合性证明材料</w:t>
            </w:r>
          </w:p>
        </w:tc>
        <w:tc>
          <w:tcPr>
            <w:tcW w:w="752" w:type="dxa"/>
            <w:vAlign w:val="center"/>
          </w:tcPr>
          <w:p w14:paraId="1B693E8A">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格式</w:t>
            </w:r>
          </w:p>
        </w:tc>
      </w:tr>
      <w:tr w14:paraId="75135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0D0EB779">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p>
        </w:tc>
        <w:tc>
          <w:tcPr>
            <w:tcW w:w="6861" w:type="dxa"/>
            <w:vAlign w:val="center"/>
          </w:tcPr>
          <w:p w14:paraId="363AA6F7">
            <w:pPr>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投标函</w:t>
            </w:r>
          </w:p>
        </w:tc>
        <w:tc>
          <w:tcPr>
            <w:tcW w:w="752" w:type="dxa"/>
            <w:vAlign w:val="center"/>
          </w:tcPr>
          <w:p w14:paraId="66161501">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10</w:t>
            </w:r>
          </w:p>
        </w:tc>
      </w:tr>
      <w:tr w14:paraId="04291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3EE1F407">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w:t>
            </w:r>
          </w:p>
        </w:tc>
        <w:tc>
          <w:tcPr>
            <w:tcW w:w="6861" w:type="dxa"/>
            <w:vAlign w:val="center"/>
          </w:tcPr>
          <w:p w14:paraId="497B7C48">
            <w:pPr>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递交投标保证金证明</w:t>
            </w:r>
            <w:r>
              <w:rPr>
                <w:rFonts w:hint="eastAsia" w:ascii="仿宋_GB2312" w:hAnsi="仿宋" w:eastAsia="仿宋_GB2312" w:cs="仿宋_GB2312"/>
                <w:color w:val="auto"/>
                <w:kern w:val="0"/>
                <w:sz w:val="24"/>
                <w:highlight w:val="none"/>
                <w:lang w:val="en-US" w:eastAsia="zh-CN"/>
              </w:rPr>
              <w:t>材料</w:t>
            </w:r>
          </w:p>
        </w:tc>
        <w:tc>
          <w:tcPr>
            <w:tcW w:w="752" w:type="dxa"/>
            <w:vAlign w:val="center"/>
          </w:tcPr>
          <w:p w14:paraId="2C4EDE14">
            <w:pPr>
              <w:adjustRightInd w:val="0"/>
              <w:snapToGrid w:val="0"/>
              <w:jc w:val="center"/>
              <w:rPr>
                <w:rFonts w:ascii="仿宋_GB2312" w:hAnsi="仿宋" w:eastAsia="仿宋_GB2312" w:cs="仿宋_GB2312"/>
                <w:color w:val="auto"/>
                <w:kern w:val="0"/>
                <w:sz w:val="24"/>
                <w:highlight w:val="none"/>
              </w:rPr>
            </w:pPr>
          </w:p>
        </w:tc>
      </w:tr>
      <w:tr w14:paraId="16460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5FDE81A1">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3</w:t>
            </w:r>
          </w:p>
        </w:tc>
        <w:tc>
          <w:tcPr>
            <w:tcW w:w="6861" w:type="dxa"/>
            <w:vAlign w:val="center"/>
          </w:tcPr>
          <w:p w14:paraId="2E296CEE">
            <w:pPr>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开标一览表</w:t>
            </w:r>
          </w:p>
        </w:tc>
        <w:tc>
          <w:tcPr>
            <w:tcW w:w="752" w:type="dxa"/>
            <w:vAlign w:val="center"/>
          </w:tcPr>
          <w:p w14:paraId="01453675">
            <w:pPr>
              <w:adjustRightInd w:val="0"/>
              <w:snapToGrid w:val="0"/>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r>
              <w:rPr>
                <w:rFonts w:hint="eastAsia" w:ascii="仿宋_GB2312" w:hAnsi="仿宋" w:eastAsia="仿宋_GB2312" w:cs="仿宋_GB2312"/>
                <w:color w:val="auto"/>
                <w:kern w:val="0"/>
                <w:sz w:val="24"/>
                <w:highlight w:val="none"/>
              </w:rPr>
              <w:t>1</w:t>
            </w:r>
          </w:p>
        </w:tc>
      </w:tr>
      <w:tr w14:paraId="47ECC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0A8A8CB9">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4</w:t>
            </w:r>
          </w:p>
        </w:tc>
        <w:tc>
          <w:tcPr>
            <w:tcW w:w="6861" w:type="dxa"/>
            <w:vAlign w:val="center"/>
          </w:tcPr>
          <w:p w14:paraId="2E0FD84C">
            <w:pPr>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分项报价表</w:t>
            </w:r>
          </w:p>
        </w:tc>
        <w:tc>
          <w:tcPr>
            <w:tcW w:w="752" w:type="dxa"/>
            <w:vAlign w:val="center"/>
          </w:tcPr>
          <w:p w14:paraId="4B7AC7F7">
            <w:pPr>
              <w:adjustRightInd w:val="0"/>
              <w:snapToGrid w:val="0"/>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r>
              <w:rPr>
                <w:rFonts w:hint="eastAsia" w:ascii="仿宋_GB2312" w:hAnsi="仿宋" w:eastAsia="仿宋_GB2312" w:cs="仿宋_GB2312"/>
                <w:color w:val="auto"/>
                <w:kern w:val="0"/>
                <w:sz w:val="24"/>
                <w:highlight w:val="none"/>
              </w:rPr>
              <w:t>2</w:t>
            </w:r>
          </w:p>
        </w:tc>
      </w:tr>
      <w:tr w14:paraId="1A24D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6C1B575E">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5</w:t>
            </w:r>
          </w:p>
        </w:tc>
        <w:tc>
          <w:tcPr>
            <w:tcW w:w="6861" w:type="dxa"/>
            <w:vAlign w:val="center"/>
          </w:tcPr>
          <w:p w14:paraId="780AA9F4">
            <w:pPr>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技术规格偏离表</w:t>
            </w:r>
          </w:p>
        </w:tc>
        <w:tc>
          <w:tcPr>
            <w:tcW w:w="752" w:type="dxa"/>
            <w:vAlign w:val="center"/>
          </w:tcPr>
          <w:p w14:paraId="544B5525">
            <w:pPr>
              <w:adjustRightInd w:val="0"/>
              <w:snapToGrid w:val="0"/>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r>
              <w:rPr>
                <w:rFonts w:hint="eastAsia" w:ascii="仿宋_GB2312" w:hAnsi="仿宋" w:eastAsia="仿宋_GB2312" w:cs="仿宋_GB2312"/>
                <w:color w:val="auto"/>
                <w:kern w:val="0"/>
                <w:sz w:val="24"/>
                <w:highlight w:val="none"/>
              </w:rPr>
              <w:t>3</w:t>
            </w:r>
          </w:p>
        </w:tc>
      </w:tr>
      <w:tr w14:paraId="1D88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48134035">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6</w:t>
            </w:r>
          </w:p>
        </w:tc>
        <w:tc>
          <w:tcPr>
            <w:tcW w:w="6861" w:type="dxa"/>
            <w:vAlign w:val="center"/>
          </w:tcPr>
          <w:p w14:paraId="14DF68A3">
            <w:pPr>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商务条款偏离表</w:t>
            </w:r>
          </w:p>
        </w:tc>
        <w:tc>
          <w:tcPr>
            <w:tcW w:w="752" w:type="dxa"/>
            <w:vAlign w:val="center"/>
          </w:tcPr>
          <w:p w14:paraId="2C0D976F">
            <w:pPr>
              <w:adjustRightInd w:val="0"/>
              <w:snapToGrid w:val="0"/>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r>
              <w:rPr>
                <w:rFonts w:hint="eastAsia" w:ascii="仿宋_GB2312" w:hAnsi="仿宋" w:eastAsia="仿宋_GB2312" w:cs="仿宋_GB2312"/>
                <w:color w:val="auto"/>
                <w:kern w:val="0"/>
                <w:sz w:val="24"/>
                <w:highlight w:val="none"/>
              </w:rPr>
              <w:t>4</w:t>
            </w:r>
          </w:p>
        </w:tc>
      </w:tr>
      <w:tr w14:paraId="7C303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670DAC22">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7</w:t>
            </w:r>
          </w:p>
        </w:tc>
        <w:tc>
          <w:tcPr>
            <w:tcW w:w="6861" w:type="dxa"/>
            <w:vAlign w:val="center"/>
          </w:tcPr>
          <w:p w14:paraId="55A9FFB2">
            <w:pPr>
              <w:adjustRightInd w:val="0"/>
              <w:snapToGrid w:val="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投标人关联单位说明</w:t>
            </w:r>
          </w:p>
        </w:tc>
        <w:tc>
          <w:tcPr>
            <w:tcW w:w="752" w:type="dxa"/>
            <w:vAlign w:val="center"/>
          </w:tcPr>
          <w:p w14:paraId="52828F2A">
            <w:pPr>
              <w:adjustRightInd w:val="0"/>
              <w:snapToGrid w:val="0"/>
              <w:jc w:val="center"/>
              <w:rPr>
                <w:rFonts w:ascii="仿宋_GB2312" w:hAnsi="仿宋" w:eastAsia="仿宋_GB2312" w:cs="仿宋_GB2312"/>
                <w:color w:val="auto"/>
                <w:kern w:val="0"/>
                <w:sz w:val="24"/>
                <w:highlight w:val="none"/>
              </w:rPr>
            </w:pPr>
            <w:r>
              <w:rPr>
                <w:rFonts w:ascii="仿宋_GB2312" w:hAnsi="仿宋" w:eastAsia="仿宋_GB2312" w:cs="仿宋_GB2312"/>
                <w:color w:val="auto"/>
                <w:kern w:val="0"/>
                <w:sz w:val="24"/>
                <w:highlight w:val="none"/>
              </w:rPr>
              <w:t>1</w:t>
            </w:r>
            <w:r>
              <w:rPr>
                <w:rFonts w:hint="eastAsia" w:ascii="仿宋_GB2312" w:hAnsi="仿宋" w:eastAsia="仿宋_GB2312" w:cs="仿宋_GB2312"/>
                <w:color w:val="auto"/>
                <w:kern w:val="0"/>
                <w:sz w:val="24"/>
                <w:highlight w:val="none"/>
              </w:rPr>
              <w:t>5</w:t>
            </w:r>
          </w:p>
        </w:tc>
      </w:tr>
      <w:tr w14:paraId="66FCF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0" w:type="dxa"/>
            <w:vAlign w:val="center"/>
          </w:tcPr>
          <w:p w14:paraId="4DA4001F">
            <w:pPr>
              <w:adjustRightInd w:val="0"/>
              <w:snapToGrid w:val="0"/>
              <w:jc w:val="center"/>
              <w:rPr>
                <w:rFonts w:ascii="仿宋_GB2312" w:hAnsi="仿宋" w:eastAsia="仿宋_GB2312" w:cs="仿宋_GB2312"/>
                <w:color w:val="auto"/>
                <w:kern w:val="0"/>
                <w:sz w:val="24"/>
                <w:highlight w:val="none"/>
              </w:rPr>
            </w:pPr>
            <w:bookmarkStart w:id="85" w:name="_Toc27769_WPSOffice_Level2"/>
            <w:bookmarkStart w:id="86" w:name="_Toc24432_WPSOffice_Level2"/>
            <w:r>
              <w:rPr>
                <w:rFonts w:hint="eastAsia" w:ascii="仿宋_GB2312" w:hAnsi="仿宋" w:eastAsia="仿宋_GB2312" w:cs="仿宋_GB2312"/>
                <w:color w:val="auto"/>
                <w:kern w:val="0"/>
                <w:sz w:val="24"/>
                <w:highlight w:val="none"/>
              </w:rPr>
              <w:t>8</w:t>
            </w:r>
          </w:p>
        </w:tc>
        <w:tc>
          <w:tcPr>
            <w:tcW w:w="6861" w:type="dxa"/>
            <w:vAlign w:val="center"/>
          </w:tcPr>
          <w:p w14:paraId="396C2139">
            <w:pPr>
              <w:adjustRightInd w:val="0"/>
              <w:snapToGrid w:val="0"/>
              <w:rPr>
                <w:rFonts w:ascii="仿宋_GB2312" w:hAnsi="仿宋"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rPr>
              <w:t>文件一致性承诺函</w:t>
            </w:r>
          </w:p>
        </w:tc>
        <w:tc>
          <w:tcPr>
            <w:tcW w:w="752" w:type="dxa"/>
            <w:vAlign w:val="center"/>
          </w:tcPr>
          <w:p w14:paraId="0CE0CEE0">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16</w:t>
            </w:r>
          </w:p>
        </w:tc>
      </w:tr>
    </w:tbl>
    <w:p w14:paraId="43372E67">
      <w:pPr>
        <w:snapToGrid w:val="0"/>
        <w:spacing w:before="159" w:beforeLines="5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四、其他材料</w:t>
      </w:r>
      <w:bookmarkEnd w:id="85"/>
      <w:bookmarkEnd w:id="86"/>
      <w:r>
        <w:rPr>
          <w:rFonts w:hint="eastAsia" w:ascii="仿宋_GB2312" w:hAnsi="仿宋" w:eastAsia="仿宋_GB2312" w:cs="仿宋_GB2312"/>
          <w:b/>
          <w:color w:val="auto"/>
          <w:sz w:val="24"/>
          <w:highlight w:val="none"/>
        </w:rPr>
        <w:t>（如有，请提供；如未提供，投标文件不作无效处理）</w:t>
      </w:r>
    </w:p>
    <w:tbl>
      <w:tblPr>
        <w:tblStyle w:val="25"/>
        <w:tblW w:w="8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6902"/>
        <w:gridCol w:w="756"/>
      </w:tblGrid>
      <w:tr w14:paraId="134BB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blHeader/>
          <w:jc w:val="center"/>
        </w:trPr>
        <w:tc>
          <w:tcPr>
            <w:tcW w:w="764" w:type="dxa"/>
            <w:vAlign w:val="center"/>
          </w:tcPr>
          <w:p w14:paraId="6EFA6FB6">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序号</w:t>
            </w:r>
          </w:p>
        </w:tc>
        <w:tc>
          <w:tcPr>
            <w:tcW w:w="6902" w:type="dxa"/>
            <w:vAlign w:val="center"/>
          </w:tcPr>
          <w:p w14:paraId="13EFF4AA">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其他材料</w:t>
            </w:r>
          </w:p>
        </w:tc>
        <w:tc>
          <w:tcPr>
            <w:tcW w:w="756" w:type="dxa"/>
            <w:vAlign w:val="center"/>
          </w:tcPr>
          <w:p w14:paraId="07511819">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格式</w:t>
            </w:r>
          </w:p>
        </w:tc>
      </w:tr>
      <w:tr w14:paraId="01E48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0009AA37">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w:t>
            </w:r>
          </w:p>
        </w:tc>
        <w:tc>
          <w:tcPr>
            <w:tcW w:w="6902" w:type="dxa"/>
            <w:vAlign w:val="center"/>
          </w:tcPr>
          <w:p w14:paraId="0FA0D0B8">
            <w:pPr>
              <w:adjustRightInd w:val="0"/>
              <w:snapToGrid w:val="0"/>
              <w:ind w:left="25" w:leftChars="12"/>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进口产品的制造厂家的授权书（本项目不适用）</w:t>
            </w:r>
          </w:p>
        </w:tc>
        <w:tc>
          <w:tcPr>
            <w:tcW w:w="756" w:type="dxa"/>
            <w:vAlign w:val="center"/>
          </w:tcPr>
          <w:p w14:paraId="0FD952A1">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17</w:t>
            </w:r>
          </w:p>
        </w:tc>
      </w:tr>
      <w:tr w14:paraId="3441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52FAFCC2">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w:t>
            </w:r>
          </w:p>
        </w:tc>
        <w:tc>
          <w:tcPr>
            <w:tcW w:w="6902" w:type="dxa"/>
            <w:vAlign w:val="center"/>
          </w:tcPr>
          <w:p w14:paraId="7560E431">
            <w:pPr>
              <w:adjustRightInd w:val="0"/>
              <w:snapToGrid w:val="0"/>
              <w:ind w:left="25" w:leftChars="12"/>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监狱企业证明文件</w:t>
            </w:r>
          </w:p>
        </w:tc>
        <w:tc>
          <w:tcPr>
            <w:tcW w:w="756" w:type="dxa"/>
            <w:vAlign w:val="center"/>
          </w:tcPr>
          <w:p w14:paraId="6B0B127C">
            <w:pPr>
              <w:adjustRightInd w:val="0"/>
              <w:snapToGrid w:val="0"/>
              <w:jc w:val="center"/>
              <w:rPr>
                <w:rFonts w:ascii="仿宋_GB2312" w:hAnsi="仿宋" w:eastAsia="仿宋_GB2312" w:cs="仿宋_GB2312"/>
                <w:color w:val="auto"/>
                <w:kern w:val="0"/>
                <w:sz w:val="24"/>
                <w:highlight w:val="none"/>
              </w:rPr>
            </w:pPr>
          </w:p>
        </w:tc>
      </w:tr>
      <w:tr w14:paraId="56CF8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65EEF4EB">
            <w:pPr>
              <w:adjustRightInd w:val="0"/>
              <w:snapToGrid w:val="0"/>
              <w:jc w:val="center"/>
              <w:rPr>
                <w:rFonts w:ascii="仿宋_GB2312" w:hAnsi="仿宋" w:eastAsia="仿宋_GB2312" w:cs="仿宋_GB2312"/>
                <w:color w:val="auto"/>
                <w:kern w:val="0"/>
                <w:sz w:val="24"/>
                <w:highlight w:val="none"/>
              </w:rPr>
            </w:pPr>
            <w:bookmarkStart w:id="87" w:name="_Toc23127_WPSOffice_Level2"/>
            <w:bookmarkStart w:id="88" w:name="_Toc24011_WPSOffice_Level2"/>
            <w:r>
              <w:rPr>
                <w:rFonts w:hint="eastAsia" w:ascii="仿宋_GB2312" w:hAnsi="仿宋" w:eastAsia="仿宋_GB2312" w:cs="仿宋_GB2312"/>
                <w:color w:val="auto"/>
                <w:kern w:val="0"/>
                <w:sz w:val="24"/>
                <w:highlight w:val="none"/>
              </w:rPr>
              <w:t>3</w:t>
            </w:r>
          </w:p>
        </w:tc>
        <w:tc>
          <w:tcPr>
            <w:tcW w:w="6902" w:type="dxa"/>
            <w:vAlign w:val="center"/>
          </w:tcPr>
          <w:p w14:paraId="543E0647">
            <w:pPr>
              <w:adjustRightInd w:val="0"/>
              <w:snapToGrid w:val="0"/>
              <w:ind w:left="25" w:leftChars="12"/>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中小企业声明函</w:t>
            </w:r>
          </w:p>
        </w:tc>
        <w:tc>
          <w:tcPr>
            <w:tcW w:w="756" w:type="dxa"/>
            <w:vAlign w:val="center"/>
          </w:tcPr>
          <w:p w14:paraId="7DA49A30">
            <w:pPr>
              <w:adjustRightInd w:val="0"/>
              <w:snapToGrid w:val="0"/>
              <w:jc w:val="center"/>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18</w:t>
            </w:r>
          </w:p>
        </w:tc>
      </w:tr>
      <w:tr w14:paraId="1AC5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BF659C4">
            <w:pPr>
              <w:adjustRightInd w:val="0"/>
              <w:snapToGrid w:val="0"/>
              <w:jc w:val="center"/>
              <w:rPr>
                <w:rFonts w:hint="eastAsia" w:ascii="仿宋_GB2312" w:hAnsi="仿宋" w:eastAsia="仿宋_GB2312" w:cs="仿宋_GB2312"/>
                <w:color w:val="auto"/>
                <w:kern w:val="0"/>
                <w:sz w:val="24"/>
                <w:highlight w:val="none"/>
                <w:lang w:eastAsia="zh-CN"/>
              </w:rPr>
            </w:pPr>
            <w:r>
              <w:rPr>
                <w:rFonts w:hint="eastAsia" w:ascii="仿宋_GB2312" w:hAnsi="仿宋" w:eastAsia="仿宋_GB2312" w:cs="仿宋_GB2312"/>
                <w:color w:val="auto"/>
                <w:kern w:val="0"/>
                <w:sz w:val="24"/>
                <w:highlight w:val="none"/>
                <w:lang w:val="en-US" w:eastAsia="zh-CN"/>
              </w:rPr>
              <w:t>4</w:t>
            </w:r>
          </w:p>
        </w:tc>
        <w:tc>
          <w:tcPr>
            <w:tcW w:w="6902" w:type="dxa"/>
            <w:vAlign w:val="center"/>
          </w:tcPr>
          <w:p w14:paraId="3CE2DD81">
            <w:pPr>
              <w:adjustRightInd w:val="0"/>
              <w:snapToGrid w:val="0"/>
              <w:ind w:left="25" w:leftChars="12"/>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残疾人福利性单位声明函</w:t>
            </w:r>
          </w:p>
        </w:tc>
        <w:tc>
          <w:tcPr>
            <w:tcW w:w="756" w:type="dxa"/>
            <w:vAlign w:val="center"/>
          </w:tcPr>
          <w:p w14:paraId="798DDA82">
            <w:pPr>
              <w:adjustRightInd w:val="0"/>
              <w:snapToGrid w:val="0"/>
              <w:jc w:val="center"/>
              <w:rPr>
                <w:rFonts w:hint="default" w:ascii="仿宋_GB2312" w:hAnsi="仿宋" w:eastAsia="仿宋_GB2312" w:cs="仿宋_GB2312"/>
                <w:color w:val="auto"/>
                <w:kern w:val="0"/>
                <w:sz w:val="24"/>
                <w:highlight w:val="none"/>
                <w:lang w:val="en-US" w:eastAsia="zh-CN"/>
              </w:rPr>
            </w:pPr>
            <w:r>
              <w:rPr>
                <w:rFonts w:hint="eastAsia" w:ascii="仿宋_GB2312" w:hAnsi="仿宋" w:eastAsia="仿宋_GB2312" w:cs="仿宋_GB2312"/>
                <w:color w:val="auto"/>
                <w:kern w:val="0"/>
                <w:sz w:val="24"/>
                <w:highlight w:val="none"/>
                <w:lang w:val="en-US" w:eastAsia="zh-CN"/>
              </w:rPr>
              <w:t>19</w:t>
            </w:r>
          </w:p>
        </w:tc>
      </w:tr>
      <w:tr w14:paraId="7A88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389A7EB9">
            <w:pPr>
              <w:adjustRightInd w:val="0"/>
              <w:snapToGrid w:val="0"/>
              <w:jc w:val="center"/>
              <w:rPr>
                <w:rFonts w:hint="eastAsia" w:ascii="仿宋_GB2312" w:hAnsi="仿宋" w:eastAsia="仿宋_GB2312" w:cs="仿宋_GB2312"/>
                <w:color w:val="auto"/>
                <w:kern w:val="0"/>
                <w:sz w:val="24"/>
                <w:highlight w:val="none"/>
                <w:lang w:eastAsia="zh-CN"/>
              </w:rPr>
            </w:pPr>
            <w:r>
              <w:rPr>
                <w:rFonts w:hint="eastAsia" w:ascii="仿宋_GB2312" w:hAnsi="仿宋" w:eastAsia="仿宋_GB2312" w:cs="仿宋_GB2312"/>
                <w:color w:val="auto"/>
                <w:kern w:val="0"/>
                <w:sz w:val="24"/>
                <w:highlight w:val="none"/>
                <w:lang w:val="en-US" w:eastAsia="zh-CN"/>
              </w:rPr>
              <w:t>5</w:t>
            </w:r>
          </w:p>
        </w:tc>
        <w:tc>
          <w:tcPr>
            <w:tcW w:w="6902" w:type="dxa"/>
            <w:vAlign w:val="center"/>
          </w:tcPr>
          <w:p w14:paraId="5434C3B8">
            <w:pPr>
              <w:adjustRightInd w:val="0"/>
              <w:snapToGrid w:val="0"/>
              <w:ind w:left="25" w:leftChars="12"/>
              <w:rPr>
                <w:rFonts w:hint="eastAsia" w:ascii="仿宋_GB2312" w:hAnsi="仿宋" w:eastAsia="仿宋_GB2312" w:cs="仿宋_GB2312"/>
                <w:color w:val="auto"/>
                <w:sz w:val="24"/>
                <w:highlight w:val="none"/>
                <w:lang w:eastAsia="zh-CN"/>
              </w:rPr>
            </w:pPr>
            <w:r>
              <w:rPr>
                <w:rFonts w:hint="eastAsia" w:ascii="仿宋_GB2312" w:hAnsi="仿宋" w:eastAsia="仿宋_GB2312" w:cs="仿宋_GB2312"/>
                <w:color w:val="auto"/>
                <w:sz w:val="24"/>
                <w:highlight w:val="none"/>
              </w:rPr>
              <w:t>承诺书</w:t>
            </w:r>
            <w:r>
              <w:rPr>
                <w:rFonts w:hint="eastAsia" w:ascii="仿宋_GB2312" w:hAnsi="仿宋" w:eastAsia="仿宋_GB2312" w:cs="仿宋_GB2312"/>
                <w:color w:val="auto"/>
                <w:sz w:val="24"/>
                <w:highlight w:val="none"/>
                <w:lang w:eastAsia="zh-CN"/>
              </w:rPr>
              <w:t>（</w:t>
            </w:r>
            <w:r>
              <w:rPr>
                <w:rFonts w:hint="eastAsia" w:ascii="仿宋_GB2312" w:hAnsi="仿宋" w:eastAsia="仿宋_GB2312" w:cs="仿宋_GB2312"/>
                <w:color w:val="auto"/>
                <w:sz w:val="24"/>
                <w:highlight w:val="none"/>
                <w:lang w:val="en-US" w:eastAsia="zh-CN"/>
              </w:rPr>
              <w:t>如有</w:t>
            </w:r>
            <w:r>
              <w:rPr>
                <w:rFonts w:hint="eastAsia" w:ascii="仿宋_GB2312" w:hAnsi="仿宋" w:eastAsia="仿宋_GB2312" w:cs="仿宋_GB2312"/>
                <w:color w:val="auto"/>
                <w:sz w:val="24"/>
                <w:highlight w:val="none"/>
                <w:lang w:eastAsia="zh-CN"/>
              </w:rPr>
              <w:t>）</w:t>
            </w:r>
          </w:p>
        </w:tc>
        <w:tc>
          <w:tcPr>
            <w:tcW w:w="756" w:type="dxa"/>
            <w:vAlign w:val="center"/>
          </w:tcPr>
          <w:p w14:paraId="16948FB9">
            <w:pPr>
              <w:adjustRightInd w:val="0"/>
              <w:snapToGrid w:val="0"/>
              <w:jc w:val="center"/>
              <w:rPr>
                <w:rFonts w:hint="eastAsia" w:ascii="仿宋_GB2312" w:hAnsi="仿宋" w:eastAsia="仿宋_GB2312" w:cs="仿宋_GB2312"/>
                <w:color w:val="auto"/>
                <w:kern w:val="0"/>
                <w:sz w:val="24"/>
                <w:highlight w:val="none"/>
                <w:lang w:eastAsia="zh-CN"/>
              </w:rPr>
            </w:pPr>
            <w:r>
              <w:rPr>
                <w:rFonts w:hint="eastAsia" w:ascii="仿宋_GB2312" w:hAnsi="仿宋" w:eastAsia="仿宋_GB2312" w:cs="仿宋_GB2312"/>
                <w:color w:val="auto"/>
                <w:kern w:val="0"/>
                <w:sz w:val="24"/>
                <w:highlight w:val="none"/>
              </w:rPr>
              <w:t>2</w:t>
            </w:r>
            <w:r>
              <w:rPr>
                <w:rFonts w:hint="eastAsia" w:ascii="仿宋_GB2312" w:hAnsi="仿宋" w:eastAsia="仿宋_GB2312" w:cs="仿宋_GB2312"/>
                <w:color w:val="auto"/>
                <w:kern w:val="0"/>
                <w:sz w:val="24"/>
                <w:highlight w:val="none"/>
                <w:lang w:val="en-US" w:eastAsia="zh-CN"/>
              </w:rPr>
              <w:t>0</w:t>
            </w:r>
          </w:p>
        </w:tc>
      </w:tr>
      <w:tr w14:paraId="60B5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7A8FB248">
            <w:pPr>
              <w:adjustRightInd w:val="0"/>
              <w:snapToGrid w:val="0"/>
              <w:jc w:val="center"/>
              <w:rPr>
                <w:rFonts w:hint="eastAsia" w:ascii="仿宋_GB2312" w:hAnsi="仿宋" w:eastAsia="仿宋_GB2312" w:cs="仿宋_GB2312"/>
                <w:color w:val="auto"/>
                <w:kern w:val="0"/>
                <w:sz w:val="24"/>
                <w:highlight w:val="none"/>
                <w:lang w:eastAsia="zh-CN"/>
              </w:rPr>
            </w:pPr>
            <w:r>
              <w:rPr>
                <w:rFonts w:hint="eastAsia" w:ascii="仿宋_GB2312" w:hAnsi="仿宋" w:eastAsia="仿宋_GB2312" w:cs="仿宋_GB2312"/>
                <w:color w:val="auto"/>
                <w:kern w:val="0"/>
                <w:sz w:val="24"/>
                <w:highlight w:val="none"/>
                <w:lang w:val="en-US" w:eastAsia="zh-CN"/>
              </w:rPr>
              <w:t>6</w:t>
            </w:r>
          </w:p>
        </w:tc>
        <w:tc>
          <w:tcPr>
            <w:tcW w:w="6902" w:type="dxa"/>
            <w:vAlign w:val="center"/>
          </w:tcPr>
          <w:p w14:paraId="6AA947A8">
            <w:pPr>
              <w:adjustRightInd w:val="0"/>
              <w:snapToGrid w:val="0"/>
              <w:ind w:left="25" w:leftChars="12"/>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保证金退还明细表（电汇）</w:t>
            </w:r>
          </w:p>
        </w:tc>
        <w:tc>
          <w:tcPr>
            <w:tcW w:w="756" w:type="dxa"/>
            <w:vAlign w:val="center"/>
          </w:tcPr>
          <w:p w14:paraId="43925A8A">
            <w:pPr>
              <w:adjustRightInd w:val="0"/>
              <w:snapToGrid w:val="0"/>
              <w:jc w:val="center"/>
              <w:rPr>
                <w:rFonts w:hint="eastAsia" w:ascii="仿宋_GB2312" w:hAnsi="仿宋" w:eastAsia="仿宋_GB2312" w:cs="仿宋_GB2312"/>
                <w:color w:val="auto"/>
                <w:kern w:val="0"/>
                <w:sz w:val="24"/>
                <w:highlight w:val="none"/>
                <w:lang w:eastAsia="zh-CN"/>
              </w:rPr>
            </w:pPr>
            <w:r>
              <w:rPr>
                <w:rFonts w:hint="eastAsia" w:ascii="仿宋_GB2312" w:hAnsi="仿宋" w:eastAsia="仿宋_GB2312" w:cs="仿宋_GB2312"/>
                <w:color w:val="auto"/>
                <w:kern w:val="0"/>
                <w:sz w:val="24"/>
                <w:highlight w:val="none"/>
              </w:rPr>
              <w:t>2</w:t>
            </w:r>
            <w:r>
              <w:rPr>
                <w:rFonts w:hint="eastAsia" w:ascii="仿宋_GB2312" w:hAnsi="仿宋" w:eastAsia="仿宋_GB2312" w:cs="仿宋_GB2312"/>
                <w:color w:val="auto"/>
                <w:kern w:val="0"/>
                <w:sz w:val="24"/>
                <w:highlight w:val="none"/>
                <w:lang w:val="en-US" w:eastAsia="zh-CN"/>
              </w:rPr>
              <w:t>1</w:t>
            </w:r>
          </w:p>
        </w:tc>
      </w:tr>
      <w:tr w14:paraId="7AF0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4" w:type="dxa"/>
            <w:vAlign w:val="center"/>
          </w:tcPr>
          <w:p w14:paraId="2CE9EB8E">
            <w:pPr>
              <w:adjustRightInd w:val="0"/>
              <w:snapToGrid w:val="0"/>
              <w:jc w:val="center"/>
              <w:rPr>
                <w:rFonts w:hint="eastAsia" w:ascii="仿宋_GB2312" w:hAnsi="仿宋" w:eastAsia="仿宋_GB2312" w:cs="仿宋_GB2312"/>
                <w:color w:val="auto"/>
                <w:kern w:val="0"/>
                <w:sz w:val="24"/>
                <w:highlight w:val="none"/>
                <w:lang w:eastAsia="zh-CN"/>
              </w:rPr>
            </w:pPr>
            <w:r>
              <w:rPr>
                <w:rFonts w:hint="eastAsia" w:ascii="仿宋_GB2312" w:hAnsi="仿宋" w:eastAsia="仿宋_GB2312" w:cs="仿宋_GB2312"/>
                <w:color w:val="auto"/>
                <w:kern w:val="0"/>
                <w:sz w:val="24"/>
                <w:highlight w:val="none"/>
                <w:lang w:val="en-US" w:eastAsia="zh-CN"/>
              </w:rPr>
              <w:t>7</w:t>
            </w:r>
          </w:p>
        </w:tc>
        <w:tc>
          <w:tcPr>
            <w:tcW w:w="6902" w:type="dxa"/>
            <w:vAlign w:val="center"/>
          </w:tcPr>
          <w:p w14:paraId="07D3803A">
            <w:pPr>
              <w:adjustRightInd w:val="0"/>
              <w:snapToGrid w:val="0"/>
              <w:ind w:left="25" w:leftChars="12"/>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投标人基本情况</w:t>
            </w:r>
          </w:p>
        </w:tc>
        <w:tc>
          <w:tcPr>
            <w:tcW w:w="756" w:type="dxa"/>
            <w:vAlign w:val="center"/>
          </w:tcPr>
          <w:p w14:paraId="22530F00">
            <w:pPr>
              <w:adjustRightInd w:val="0"/>
              <w:snapToGrid w:val="0"/>
              <w:jc w:val="center"/>
              <w:rPr>
                <w:rFonts w:hint="eastAsia" w:ascii="仿宋_GB2312" w:hAnsi="仿宋" w:eastAsia="仿宋_GB2312" w:cs="仿宋_GB2312"/>
                <w:color w:val="auto"/>
                <w:kern w:val="0"/>
                <w:sz w:val="24"/>
                <w:highlight w:val="none"/>
                <w:lang w:eastAsia="zh-CN"/>
              </w:rPr>
            </w:pPr>
            <w:r>
              <w:rPr>
                <w:rFonts w:hint="eastAsia" w:ascii="仿宋_GB2312" w:hAnsi="仿宋" w:eastAsia="仿宋_GB2312" w:cs="仿宋_GB2312"/>
                <w:color w:val="auto"/>
                <w:kern w:val="0"/>
                <w:sz w:val="24"/>
                <w:highlight w:val="none"/>
              </w:rPr>
              <w:t>2</w:t>
            </w:r>
            <w:r>
              <w:rPr>
                <w:rFonts w:hint="eastAsia" w:ascii="仿宋_GB2312" w:hAnsi="仿宋" w:eastAsia="仿宋_GB2312" w:cs="仿宋_GB2312"/>
                <w:color w:val="auto"/>
                <w:kern w:val="0"/>
                <w:sz w:val="24"/>
                <w:highlight w:val="none"/>
                <w:lang w:val="en-US" w:eastAsia="zh-CN"/>
              </w:rPr>
              <w:t>2</w:t>
            </w:r>
          </w:p>
        </w:tc>
      </w:tr>
    </w:tbl>
    <w:p w14:paraId="6159D36D">
      <w:pPr>
        <w:keepNext w:val="0"/>
        <w:keepLines w:val="0"/>
        <w:pageBreakBefore w:val="0"/>
        <w:widowControl w:val="0"/>
        <w:kinsoku/>
        <w:wordWrap/>
        <w:overflowPunct/>
        <w:topLinePunct w:val="0"/>
        <w:autoSpaceDE/>
        <w:autoSpaceDN/>
        <w:bidi w:val="0"/>
        <w:adjustRightInd w:val="0"/>
        <w:snapToGrid w:val="0"/>
        <w:spacing w:before="159" w:beforeLines="50" w:line="300" w:lineRule="exact"/>
        <w:ind w:firstLine="480" w:firstLineChars="200"/>
        <w:textAlignment w:val="auto"/>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重要提示：</w:t>
      </w:r>
      <w:bookmarkEnd w:id="87"/>
      <w:bookmarkEnd w:id="88"/>
    </w:p>
    <w:p w14:paraId="4EED234B">
      <w:pPr>
        <w:keepNext w:val="0"/>
        <w:keepLines w:val="0"/>
        <w:pageBreakBefore w:val="0"/>
        <w:widowControl w:val="0"/>
        <w:kinsoku/>
        <w:wordWrap/>
        <w:overflowPunct/>
        <w:topLinePunct w:val="0"/>
        <w:autoSpaceDE/>
        <w:autoSpaceDN/>
        <w:bidi w:val="0"/>
        <w:adjustRightInd w:val="0"/>
        <w:snapToGrid w:val="0"/>
        <w:spacing w:before="159" w:beforeLines="50" w:line="300" w:lineRule="exact"/>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1.投标人提供的证明材料，除需要投标人填报或有特殊说明外，均须按要求提供。</w:t>
      </w:r>
    </w:p>
    <w:p w14:paraId="4E02FFCD">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2.投标人在编制投标文件时，对于给定格式的文件内容，必须按照给定的标准格式进行填报；对于没有给定标准格式的文件内容，可以由投标人自行设计。</w:t>
      </w:r>
    </w:p>
    <w:p w14:paraId="026719A5">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jc w:val="lef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3.投标文件应用中文书写。投标文件中所附或所引用的材料不是中文时，应附中文译本，并加盖单位公章（自然人投标的，无需加盖单位公章，需要签字）。</w:t>
      </w:r>
    </w:p>
    <w:p w14:paraId="4B5DD30C">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hint="eastAsia" w:ascii="仿宋_GB2312" w:hAnsi="仿宋" w:eastAsia="仿宋_GB2312" w:cs="仿宋_GB2312"/>
          <w:b/>
          <w:bCs/>
          <w:color w:val="auto"/>
          <w:sz w:val="24"/>
          <w:highlight w:val="none"/>
        </w:rPr>
        <w:t>“资格性证明材料”</w:t>
      </w:r>
      <w:r>
        <w:rPr>
          <w:rFonts w:hint="eastAsia" w:ascii="仿宋_GB2312" w:hAnsi="仿宋" w:eastAsia="仿宋_GB2312" w:cs="仿宋_GB2312"/>
          <w:color w:val="auto"/>
          <w:sz w:val="24"/>
          <w:highlight w:val="none"/>
        </w:rPr>
        <w:t>所列内容即为采购项目的资格审查条件，有一项不符合要求，不能进入下一阶段评审。</w:t>
      </w:r>
    </w:p>
    <w:p w14:paraId="749DEA1E">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w:t>
      </w:r>
      <w:r>
        <w:rPr>
          <w:rFonts w:hint="eastAsia" w:ascii="仿宋_GB2312" w:hAnsi="仿宋" w:eastAsia="仿宋_GB2312" w:cs="仿宋_GB2312"/>
          <w:b/>
          <w:bCs/>
          <w:color w:val="auto"/>
          <w:sz w:val="24"/>
          <w:highlight w:val="none"/>
        </w:rPr>
        <w:t>“符合性证明材料”</w:t>
      </w:r>
      <w:r>
        <w:rPr>
          <w:rFonts w:hint="eastAsia" w:ascii="仿宋_GB2312" w:hAnsi="仿宋" w:eastAsia="仿宋_GB2312" w:cs="仿宋_GB2312"/>
          <w:color w:val="auto"/>
          <w:sz w:val="24"/>
          <w:highlight w:val="none"/>
        </w:rPr>
        <w:t>所列内容即为采购项目的符合性审查条件，有一项不符合要求，不能进入下一阶段评审。</w:t>
      </w:r>
    </w:p>
    <w:p w14:paraId="6D91A802">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“其他材料”</w:t>
      </w:r>
    </w:p>
    <w:p w14:paraId="49FCE751">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w:t>
      </w:r>
      <w:r>
        <w:rPr>
          <w:rFonts w:hint="eastAsia" w:ascii="仿宋_GB2312" w:hAnsi="仿宋" w:eastAsia="仿宋_GB2312" w:cs="仿宋_GB2312"/>
          <w:color w:val="auto"/>
          <w:kern w:val="0"/>
          <w:sz w:val="24"/>
          <w:highlight w:val="none"/>
        </w:rPr>
        <w:t>综合评分法：</w:t>
      </w:r>
      <w:r>
        <w:rPr>
          <w:rFonts w:hint="eastAsia" w:ascii="仿宋_GB2312" w:hAnsi="仿宋" w:eastAsia="仿宋_GB2312" w:cs="仿宋_GB2312"/>
          <w:color w:val="auto"/>
          <w:sz w:val="24"/>
          <w:highlight w:val="none"/>
        </w:rPr>
        <w:t>投标人可就</w:t>
      </w:r>
      <w:r>
        <w:rPr>
          <w:rFonts w:hint="eastAsia" w:ascii="仿宋_GB2312" w:hAnsi="仿宋" w:eastAsia="仿宋_GB2312" w:cs="仿宋_GB2312"/>
          <w:color w:val="auto"/>
          <w:kern w:val="0"/>
          <w:sz w:val="24"/>
          <w:highlight w:val="none"/>
        </w:rPr>
        <w:t>招标文件要求以及评分细则中各项要求提供相应材料。</w:t>
      </w:r>
    </w:p>
    <w:p w14:paraId="2D5A0EA7">
      <w:pPr>
        <w:keepNext w:val="0"/>
        <w:keepLines w:val="0"/>
        <w:pageBreakBefore w:val="0"/>
        <w:widowControl w:val="0"/>
        <w:kinsoku/>
        <w:wordWrap/>
        <w:overflowPunct/>
        <w:topLinePunct w:val="0"/>
        <w:autoSpaceDE/>
        <w:autoSpaceDN/>
        <w:bidi w:val="0"/>
        <w:adjustRightInd w:val="0"/>
        <w:snapToGrid w:val="0"/>
        <w:spacing w:line="300" w:lineRule="exact"/>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w:t>
      </w:r>
      <w:r>
        <w:rPr>
          <w:rFonts w:hint="eastAsia" w:ascii="仿宋_GB2312" w:hAnsi="仿宋" w:eastAsia="仿宋_GB2312" w:cs="仿宋_GB2312"/>
          <w:color w:val="auto"/>
          <w:kern w:val="0"/>
          <w:sz w:val="24"/>
          <w:highlight w:val="none"/>
        </w:rPr>
        <w:t>最低评标价法：</w:t>
      </w:r>
      <w:r>
        <w:rPr>
          <w:rFonts w:hint="eastAsia" w:ascii="仿宋_GB2312" w:hAnsi="仿宋" w:eastAsia="仿宋_GB2312" w:cs="仿宋_GB2312"/>
          <w:color w:val="auto"/>
          <w:sz w:val="24"/>
          <w:highlight w:val="none"/>
        </w:rPr>
        <w:t>投标人可就</w:t>
      </w:r>
      <w:r>
        <w:rPr>
          <w:rFonts w:hint="eastAsia" w:ascii="仿宋_GB2312" w:hAnsi="仿宋" w:eastAsia="仿宋_GB2312" w:cs="仿宋_GB2312"/>
          <w:color w:val="auto"/>
          <w:kern w:val="0"/>
          <w:sz w:val="24"/>
          <w:highlight w:val="none"/>
        </w:rPr>
        <w:t>招标文件要求提供相应材料。</w:t>
      </w:r>
    </w:p>
    <w:p w14:paraId="6D4F8E80">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color w:val="auto"/>
          <w:highlight w:val="none"/>
        </w:rPr>
        <w:br w:type="page"/>
      </w:r>
      <w:r>
        <w:rPr>
          <w:rFonts w:hint="eastAsia" w:ascii="仿宋_GB2312" w:hAnsi="仿宋" w:eastAsia="仿宋_GB2312" w:cs="仿宋_GB2312"/>
          <w:color w:val="auto"/>
          <w:szCs w:val="28"/>
          <w:highlight w:val="none"/>
        </w:rPr>
        <w:t>格式1</w:t>
      </w:r>
    </w:p>
    <w:p w14:paraId="0EC9430A">
      <w:pPr>
        <w:keepNext w:val="0"/>
        <w:keepLines w:val="0"/>
        <w:pageBreakBefore w:val="0"/>
        <w:widowControl w:val="0"/>
        <w:kinsoku/>
        <w:wordWrap/>
        <w:overflowPunct/>
        <w:topLinePunct w:val="0"/>
        <w:autoSpaceDE/>
        <w:autoSpaceDN/>
        <w:bidi w:val="0"/>
        <w:adjustRightInd/>
        <w:snapToGrid w:val="0"/>
        <w:spacing w:before="159" w:beforeLines="50" w:after="159" w:afterLines="50" w:line="240" w:lineRule="auto"/>
        <w:jc w:val="center"/>
        <w:textAlignment w:val="auto"/>
        <w:rPr>
          <w:rFonts w:hint="eastAsia" w:ascii="方正小标宋简体" w:hAnsi="仿宋_GB2312" w:eastAsia="方正小标宋简体" w:cs="仿宋_GB2312"/>
          <w:color w:val="auto"/>
          <w:sz w:val="32"/>
          <w:szCs w:val="32"/>
          <w:highlight w:val="none"/>
        </w:rPr>
      </w:pPr>
      <w:bookmarkStart w:id="89" w:name="_Toc26322_WPSOffice_Level2"/>
      <w:bookmarkStart w:id="90" w:name="_Toc21090_WPSOffice_Level2"/>
      <w:r>
        <w:rPr>
          <w:rFonts w:hint="eastAsia" w:ascii="方正小标宋简体" w:hAnsi="仿宋_GB2312" w:eastAsia="方正小标宋简体" w:cs="仿宋_GB2312"/>
          <w:color w:val="auto"/>
          <w:sz w:val="32"/>
          <w:szCs w:val="32"/>
          <w:highlight w:val="none"/>
        </w:rPr>
        <w:t>投标文件、电子文档外封面、封口格式</w:t>
      </w:r>
      <w:bookmarkEnd w:id="89"/>
      <w:bookmarkEnd w:id="90"/>
    </w:p>
    <w:p w14:paraId="362C4F05">
      <w:pPr>
        <w:keepNext w:val="0"/>
        <w:keepLines w:val="0"/>
        <w:pageBreakBefore w:val="0"/>
        <w:widowControl w:val="0"/>
        <w:kinsoku/>
        <w:wordWrap/>
        <w:overflowPunct/>
        <w:topLinePunct w:val="0"/>
        <w:autoSpaceDE/>
        <w:autoSpaceDN/>
        <w:bidi w:val="0"/>
        <w:adjustRightInd/>
        <w:snapToGrid w:val="0"/>
        <w:spacing w:before="159" w:beforeLines="50" w:after="159" w:afterLines="50" w:line="240" w:lineRule="auto"/>
        <w:jc w:val="center"/>
        <w:textAlignment w:val="auto"/>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lang w:eastAsia="zh-CN"/>
        </w:rPr>
        <w:t>（</w:t>
      </w:r>
      <w:r>
        <w:rPr>
          <w:rFonts w:hint="eastAsia" w:ascii="方正小标宋简体" w:hAnsi="仿宋_GB2312" w:eastAsia="方正小标宋简体" w:cs="仿宋_GB2312"/>
          <w:color w:val="auto"/>
          <w:sz w:val="32"/>
          <w:szCs w:val="32"/>
          <w:highlight w:val="none"/>
          <w:lang w:val="en-US" w:eastAsia="zh-CN"/>
        </w:rPr>
        <w:t>仅供参考</w:t>
      </w:r>
      <w:r>
        <w:rPr>
          <w:rFonts w:hint="eastAsia" w:ascii="方正小标宋简体" w:hAnsi="仿宋_GB2312" w:eastAsia="方正小标宋简体" w:cs="仿宋_GB2312"/>
          <w:color w:val="auto"/>
          <w:sz w:val="32"/>
          <w:szCs w:val="32"/>
          <w:highlight w:val="none"/>
          <w:lang w:eastAsia="zh-CN"/>
        </w:rPr>
        <w:t>）</w:t>
      </w:r>
    </w:p>
    <w:p w14:paraId="1FCEEC68">
      <w:pPr>
        <w:rPr>
          <w:rFonts w:ascii="仿宋_GB2312" w:hAnsi="仿宋" w:eastAsia="仿宋_GB2312" w:cs="仿宋_GB2312"/>
          <w:color w:val="auto"/>
          <w:highlight w:val="none"/>
        </w:rPr>
      </w:pPr>
      <w:r>
        <w:rPr>
          <w:rFonts w:hint="eastAsia" w:ascii="仿宋_GB2312" w:hAnsi="仿宋" w:eastAsia="仿宋_GB2312" w:cs="仿宋_GB2312"/>
          <w:color w:val="auto"/>
          <w:sz w:val="28"/>
          <w:szCs w:val="28"/>
          <w:highlight w:val="none"/>
        </w:rPr>
        <w:t>封面格式：</w:t>
      </w:r>
    </w:p>
    <w:tbl>
      <w:tblPr>
        <w:tblStyle w:val="25"/>
        <w:tblW w:w="8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3"/>
      </w:tblGrid>
      <w:tr w14:paraId="013B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7" w:hRule="atLeast"/>
          <w:jc w:val="center"/>
        </w:trPr>
        <w:tc>
          <w:tcPr>
            <w:tcW w:w="8453" w:type="dxa"/>
          </w:tcPr>
          <w:p w14:paraId="581D9A2E">
            <w:pPr>
              <w:jc w:val="center"/>
              <w:rPr>
                <w:rFonts w:ascii="仿宋_GB2312" w:hAnsi="仿宋" w:eastAsia="仿宋_GB2312" w:cs="仿宋_GB2312"/>
                <w:b/>
                <w:bCs/>
                <w:color w:val="auto"/>
                <w:highlight w:val="none"/>
              </w:rPr>
            </w:pPr>
          </w:p>
          <w:p w14:paraId="5CAAD3D4">
            <w:pPr>
              <w:jc w:val="center"/>
              <w:rPr>
                <w:rFonts w:ascii="仿宋_GB2312" w:hAnsi="仿宋" w:eastAsia="仿宋_GB2312" w:cs="仿宋_GB2312"/>
                <w:b/>
                <w:bCs/>
                <w:color w:val="auto"/>
                <w:highlight w:val="none"/>
              </w:rPr>
            </w:pPr>
          </w:p>
          <w:p w14:paraId="03E499CF">
            <w:pPr>
              <w:jc w:val="center"/>
              <w:rPr>
                <w:rFonts w:ascii="仿宋_GB2312" w:hAnsi="仿宋" w:eastAsia="仿宋_GB2312" w:cs="仿宋_GB2312"/>
                <w:b/>
                <w:bCs/>
                <w:color w:val="auto"/>
                <w:highlight w:val="none"/>
              </w:rPr>
            </w:pPr>
          </w:p>
          <w:p w14:paraId="0EC4C3E0">
            <w:pPr>
              <w:jc w:val="center"/>
              <w:rPr>
                <w:rFonts w:ascii="仿宋_GB2312" w:hAnsi="仿宋" w:eastAsia="仿宋_GB2312" w:cs="仿宋_GB2312"/>
                <w:b/>
                <w:bCs/>
                <w:color w:val="auto"/>
                <w:highlight w:val="none"/>
              </w:rPr>
            </w:pPr>
          </w:p>
          <w:p w14:paraId="14EDBA8E">
            <w:pPr>
              <w:jc w:val="center"/>
              <w:rPr>
                <w:rFonts w:ascii="仿宋_GB2312" w:hAnsi="仿宋" w:eastAsia="仿宋_GB2312" w:cs="仿宋_GB2312"/>
                <w:b/>
                <w:bCs/>
                <w:color w:val="auto"/>
                <w:highlight w:val="none"/>
              </w:rPr>
            </w:pPr>
          </w:p>
          <w:p w14:paraId="356B9269">
            <w:pPr>
              <w:jc w:val="center"/>
              <w:rPr>
                <w:rFonts w:ascii="黑体" w:hAnsi="黑体" w:eastAsia="黑体" w:cs="仿宋_GB2312"/>
                <w:b/>
                <w:bCs/>
                <w:color w:val="auto"/>
                <w:sz w:val="56"/>
                <w:szCs w:val="96"/>
                <w:highlight w:val="none"/>
              </w:rPr>
            </w:pPr>
            <w:r>
              <w:rPr>
                <w:rFonts w:hint="eastAsia" w:ascii="黑体" w:hAnsi="黑体" w:eastAsia="黑体" w:cs="仿宋_GB2312"/>
                <w:b/>
                <w:bCs/>
                <w:color w:val="auto"/>
                <w:sz w:val="56"/>
                <w:szCs w:val="96"/>
                <w:highlight w:val="none"/>
              </w:rPr>
              <w:t>投标文件/电子文档</w:t>
            </w:r>
          </w:p>
          <w:p w14:paraId="24D26431">
            <w:pPr>
              <w:jc w:val="left"/>
              <w:rPr>
                <w:rFonts w:ascii="仿宋_GB2312" w:hAnsi="仿宋" w:eastAsia="仿宋_GB2312" w:cs="仿宋_GB2312"/>
                <w:color w:val="auto"/>
                <w:highlight w:val="none"/>
              </w:rPr>
            </w:pPr>
          </w:p>
          <w:p w14:paraId="0EDFBAC0">
            <w:pPr>
              <w:jc w:val="left"/>
              <w:rPr>
                <w:rFonts w:ascii="仿宋_GB2312" w:hAnsi="仿宋" w:eastAsia="仿宋_GB2312" w:cs="仿宋_GB2312"/>
                <w:color w:val="auto"/>
                <w:highlight w:val="none"/>
              </w:rPr>
            </w:pPr>
          </w:p>
          <w:p w14:paraId="5DC88C75">
            <w:pPr>
              <w:jc w:val="left"/>
              <w:rPr>
                <w:rFonts w:ascii="仿宋_GB2312" w:hAnsi="仿宋" w:eastAsia="仿宋_GB2312" w:cs="仿宋_GB2312"/>
                <w:color w:val="auto"/>
                <w:highlight w:val="none"/>
              </w:rPr>
            </w:pPr>
          </w:p>
          <w:p w14:paraId="4A46A7F1">
            <w:pPr>
              <w:jc w:val="left"/>
              <w:rPr>
                <w:rFonts w:ascii="仿宋_GB2312" w:hAnsi="仿宋" w:eastAsia="仿宋_GB2312" w:cs="仿宋_GB2312"/>
                <w:color w:val="auto"/>
                <w:highlight w:val="none"/>
              </w:rPr>
            </w:pPr>
          </w:p>
          <w:p w14:paraId="06B6077E">
            <w:pPr>
              <w:jc w:val="left"/>
              <w:rPr>
                <w:rFonts w:ascii="仿宋_GB2312" w:hAnsi="仿宋" w:eastAsia="仿宋_GB2312" w:cs="仿宋_GB2312"/>
                <w:color w:val="auto"/>
                <w:highlight w:val="none"/>
              </w:rPr>
            </w:pPr>
          </w:p>
          <w:p w14:paraId="4D77D2FE">
            <w:pPr>
              <w:jc w:val="left"/>
              <w:rPr>
                <w:rFonts w:ascii="仿宋_GB2312" w:hAnsi="仿宋" w:eastAsia="仿宋_GB2312" w:cs="仿宋_GB2312"/>
                <w:color w:val="auto"/>
                <w:highlight w:val="none"/>
              </w:rPr>
            </w:pPr>
          </w:p>
          <w:p w14:paraId="04735B14">
            <w:pPr>
              <w:jc w:val="left"/>
              <w:rPr>
                <w:rFonts w:ascii="仿宋_GB2312" w:hAnsi="仿宋" w:eastAsia="仿宋_GB2312" w:cs="仿宋_GB2312"/>
                <w:color w:val="auto"/>
                <w:highlight w:val="none"/>
              </w:rPr>
            </w:pPr>
          </w:p>
          <w:p w14:paraId="5E8BE661">
            <w:pPr>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所投包号：第</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包</w:t>
            </w:r>
          </w:p>
          <w:p w14:paraId="1467A04E">
            <w:pPr>
              <w:jc w:val="left"/>
              <w:rPr>
                <w:rFonts w:ascii="仿宋_GB2312" w:hAnsi="仿宋" w:eastAsia="仿宋_GB2312" w:cs="仿宋_GB2312"/>
                <w:color w:val="auto"/>
                <w:sz w:val="24"/>
                <w:highlight w:val="none"/>
              </w:rPr>
            </w:pPr>
          </w:p>
          <w:p w14:paraId="78EAF6CF">
            <w:pPr>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项目名称：</w:t>
            </w:r>
          </w:p>
          <w:p w14:paraId="52D66387">
            <w:pPr>
              <w:jc w:val="left"/>
              <w:rPr>
                <w:rFonts w:ascii="仿宋_GB2312" w:hAnsi="仿宋" w:eastAsia="仿宋_GB2312" w:cs="仿宋_GB2312"/>
                <w:color w:val="auto"/>
                <w:sz w:val="24"/>
                <w:highlight w:val="none"/>
              </w:rPr>
            </w:pPr>
          </w:p>
          <w:p w14:paraId="443EFD9B">
            <w:pPr>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项目编号：</w:t>
            </w:r>
          </w:p>
          <w:p w14:paraId="4E431C87">
            <w:pPr>
              <w:jc w:val="center"/>
              <w:rPr>
                <w:rFonts w:ascii="仿宋_GB2312" w:hAnsi="仿宋" w:eastAsia="仿宋_GB2312" w:cs="仿宋_GB2312"/>
                <w:color w:val="auto"/>
                <w:sz w:val="24"/>
                <w:highlight w:val="none"/>
              </w:rPr>
            </w:pPr>
          </w:p>
          <w:p w14:paraId="43DA0BE6">
            <w:pPr>
              <w:jc w:val="center"/>
              <w:rPr>
                <w:rFonts w:ascii="仿宋_GB2312" w:hAnsi="仿宋" w:eastAsia="仿宋_GB2312" w:cs="仿宋_GB2312"/>
                <w:color w:val="auto"/>
                <w:sz w:val="24"/>
                <w:highlight w:val="none"/>
              </w:rPr>
            </w:pPr>
          </w:p>
          <w:p w14:paraId="6AEFEFB9">
            <w:pPr>
              <w:jc w:val="center"/>
              <w:rPr>
                <w:rFonts w:ascii="仿宋_GB2312" w:hAnsi="仿宋" w:eastAsia="仿宋_GB2312" w:cs="仿宋_GB2312"/>
                <w:color w:val="auto"/>
                <w:sz w:val="24"/>
                <w:highlight w:val="none"/>
              </w:rPr>
            </w:pPr>
          </w:p>
          <w:p w14:paraId="0B75B8FE">
            <w:pPr>
              <w:jc w:val="left"/>
              <w:rPr>
                <w:rFonts w:ascii="仿宋_GB2312" w:hAnsi="仿宋" w:eastAsia="仿宋_GB2312" w:cs="仿宋_GB2312"/>
                <w:color w:val="auto"/>
                <w:highlight w:val="none"/>
              </w:rPr>
            </w:pPr>
            <w:r>
              <w:rPr>
                <w:rFonts w:hint="eastAsia" w:ascii="仿宋_GB2312" w:hAnsi="仿宋" w:eastAsia="仿宋_GB2312" w:cs="仿宋_GB2312"/>
                <w:color w:val="auto"/>
                <w:sz w:val="24"/>
                <w:highlight w:val="none"/>
              </w:rPr>
              <w:t>投标人名称（加盖单位公章）</w:t>
            </w:r>
          </w:p>
        </w:tc>
      </w:tr>
    </w:tbl>
    <w:p w14:paraId="552F0BE5">
      <w:pPr>
        <w:rPr>
          <w:rFonts w:ascii="仿宋_GB2312" w:hAnsi="仿宋" w:eastAsia="仿宋_GB2312" w:cs="仿宋_GB2312"/>
          <w:color w:val="auto"/>
          <w:highlight w:val="none"/>
        </w:rPr>
      </w:pPr>
    </w:p>
    <w:p w14:paraId="3A934D44">
      <w:pPr>
        <w:rPr>
          <w:rFonts w:ascii="仿宋_GB2312" w:hAnsi="仿宋" w:eastAsia="仿宋_GB2312" w:cs="仿宋_GB2312"/>
          <w:color w:val="auto"/>
          <w:highlight w:val="none"/>
        </w:rPr>
      </w:pPr>
      <w:r>
        <w:rPr>
          <w:rFonts w:hint="eastAsia" w:ascii="仿宋_GB2312" w:hAnsi="仿宋" w:eastAsia="仿宋_GB2312" w:cs="仿宋_GB2312"/>
          <w:color w:val="auto"/>
          <w:sz w:val="24"/>
          <w:szCs w:val="32"/>
          <w:highlight w:val="none"/>
        </w:rPr>
        <w:t>封口格式：</w:t>
      </w:r>
    </w:p>
    <w:tbl>
      <w:tblPr>
        <w:tblStyle w:val="25"/>
        <w:tblW w:w="84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7"/>
      </w:tblGrid>
      <w:tr w14:paraId="3B5F7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8467" w:type="dxa"/>
            <w:tcBorders>
              <w:top w:val="single" w:color="auto" w:sz="4" w:space="0"/>
              <w:left w:val="single" w:color="auto" w:sz="4" w:space="0"/>
              <w:bottom w:val="single" w:color="auto" w:sz="4" w:space="0"/>
              <w:right w:val="single" w:color="auto" w:sz="4" w:space="0"/>
            </w:tcBorders>
            <w:vAlign w:val="center"/>
          </w:tcPr>
          <w:p w14:paraId="09B7D645">
            <w:pPr>
              <w:jc w:val="center"/>
              <w:rPr>
                <w:rFonts w:ascii="仿宋_GB2312" w:hAnsi="仿宋" w:eastAsia="仿宋_GB2312" w:cs="仿宋_GB2312"/>
                <w:color w:val="auto"/>
                <w:highlight w:val="none"/>
              </w:rPr>
            </w:pPr>
            <w:r>
              <w:rPr>
                <w:rFonts w:hint="eastAsia" w:ascii="仿宋_GB2312" w:hAnsi="仿宋" w:eastAsia="仿宋_GB2312" w:cs="仿宋_GB2312"/>
                <w:color w:val="auto"/>
                <w:sz w:val="24"/>
                <w:highlight w:val="none"/>
              </w:rPr>
              <w:t>——于</w:t>
            </w:r>
            <w:r>
              <w:rPr>
                <w:rFonts w:hint="eastAsia" w:ascii="仿宋_GB2312" w:eastAsia="仿宋_GB2312"/>
                <w:color w:val="auto"/>
                <w:sz w:val="24"/>
                <w:highlight w:val="none"/>
              </w:rPr>
              <w:t>  </w:t>
            </w:r>
            <w:r>
              <w:rPr>
                <w:rFonts w:hint="eastAsia" w:ascii="仿宋_GB2312" w:hAnsi="仿宋" w:eastAsia="仿宋_GB2312" w:cs="仿宋_GB2312"/>
                <w:color w:val="auto"/>
                <w:sz w:val="24"/>
                <w:highlight w:val="none"/>
              </w:rPr>
              <w:t xml:space="preserve"> 年</w:t>
            </w:r>
            <w:r>
              <w:rPr>
                <w:rFonts w:hint="eastAsia" w:ascii="仿宋_GB2312" w:eastAsia="仿宋_GB2312"/>
                <w:color w:val="auto"/>
                <w:sz w:val="24"/>
                <w:highlight w:val="none"/>
              </w:rPr>
              <w:t> </w:t>
            </w:r>
            <w:r>
              <w:rPr>
                <w:rFonts w:hint="eastAsia" w:ascii="仿宋_GB2312" w:hAnsi="仿宋" w:eastAsia="仿宋_GB2312" w:cs="仿宋_GB2312"/>
                <w:color w:val="auto"/>
                <w:sz w:val="24"/>
                <w:highlight w:val="none"/>
              </w:rPr>
              <w:t xml:space="preserve"> 月</w:t>
            </w:r>
            <w:r>
              <w:rPr>
                <w:rFonts w:hint="eastAsia" w:ascii="仿宋_GB2312" w:eastAsia="仿宋_GB2312"/>
                <w:color w:val="auto"/>
                <w:sz w:val="24"/>
                <w:highlight w:val="none"/>
              </w:rPr>
              <w:t> </w:t>
            </w:r>
            <w:r>
              <w:rPr>
                <w:rFonts w:hint="eastAsia" w:ascii="仿宋_GB2312" w:hAnsi="仿宋" w:eastAsia="仿宋_GB2312" w:cs="仿宋_GB2312"/>
                <w:color w:val="auto"/>
                <w:sz w:val="24"/>
                <w:highlight w:val="none"/>
              </w:rPr>
              <w:t xml:space="preserve"> 日</w:t>
            </w:r>
            <w:r>
              <w:rPr>
                <w:rFonts w:hint="eastAsia" w:ascii="仿宋_GB2312" w:eastAsia="仿宋_GB2312"/>
                <w:color w:val="auto"/>
                <w:sz w:val="24"/>
                <w:highlight w:val="none"/>
              </w:rPr>
              <w:t>  </w:t>
            </w:r>
            <w:r>
              <w:rPr>
                <w:rFonts w:hint="eastAsia" w:ascii="仿宋_GB2312" w:hAnsi="仿宋" w:eastAsia="仿宋_GB2312" w:cs="仿宋_GB2312"/>
                <w:color w:val="auto"/>
                <w:sz w:val="24"/>
                <w:highlight w:val="none"/>
              </w:rPr>
              <w:t xml:space="preserve"> 时之前不准启封（公章）——</w:t>
            </w:r>
          </w:p>
        </w:tc>
      </w:tr>
    </w:tbl>
    <w:p w14:paraId="49DC3C22">
      <w:pPr>
        <w:rPr>
          <w:rFonts w:ascii="仿宋_GB2312" w:hAnsi="仿宋" w:eastAsia="仿宋_GB2312" w:cs="仿宋_GB2312"/>
          <w:color w:val="auto"/>
          <w:highlight w:val="none"/>
        </w:rPr>
      </w:pPr>
    </w:p>
    <w:p w14:paraId="47B6D9F3">
      <w:pPr>
        <w:ind w:left="0" w:leftChars="-95" w:hanging="199" w:hangingChars="83"/>
        <w:rPr>
          <w:rFonts w:ascii="仿宋_GB2312" w:hAnsi="仿宋" w:eastAsia="仿宋_GB2312" w:cs="仿宋_GB2312"/>
          <w:color w:val="auto"/>
          <w:highlight w:val="none"/>
        </w:rPr>
      </w:pPr>
      <w:r>
        <w:rPr>
          <w:rFonts w:hint="eastAsia" w:ascii="仿宋_GB2312" w:hAnsi="仿宋_GB2312" w:eastAsia="仿宋_GB2312" w:cs="仿宋_GB2312"/>
          <w:b/>
          <w:bCs/>
          <w:color w:val="auto"/>
          <w:kern w:val="2"/>
          <w:sz w:val="24"/>
          <w:szCs w:val="24"/>
          <w:highlight w:val="none"/>
          <w:lang w:val="en-US" w:eastAsia="zh-CN" w:bidi="ar-SA"/>
        </w:rPr>
        <w:t>特别说明:电子文档外封面、封口格式仅供参考。</w:t>
      </w:r>
    </w:p>
    <w:p w14:paraId="29372E63">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b w:val="0"/>
          <w:color w:val="auto"/>
          <w:szCs w:val="28"/>
          <w:highlight w:val="none"/>
        </w:rPr>
        <w:br w:type="page"/>
      </w:r>
      <w:r>
        <w:rPr>
          <w:rFonts w:hint="eastAsia" w:ascii="仿宋_GB2312" w:hAnsi="仿宋" w:eastAsia="仿宋_GB2312" w:cs="仿宋_GB2312"/>
          <w:color w:val="auto"/>
          <w:szCs w:val="28"/>
          <w:highlight w:val="none"/>
        </w:rPr>
        <w:t>格式2</w:t>
      </w:r>
    </w:p>
    <w:p w14:paraId="68446A96">
      <w:pPr>
        <w:spacing w:before="159" w:beforeLines="50" w:after="159" w:afterLines="50" w:line="360" w:lineRule="auto"/>
        <w:ind w:right="-21" w:rightChars="-10"/>
        <w:jc w:val="center"/>
        <w:rPr>
          <w:rFonts w:ascii="方正小标宋简体" w:hAnsi="仿宋"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3878580</wp:posOffset>
                </wp:positionH>
                <wp:positionV relativeFrom="paragraph">
                  <wp:posOffset>361315</wp:posOffset>
                </wp:positionV>
                <wp:extent cx="1253490" cy="563245"/>
                <wp:effectExtent l="5080" t="4445" r="6350" b="11430"/>
                <wp:wrapNone/>
                <wp:docPr id="2" name="文本框 2"/>
                <wp:cNvGraphicFramePr/>
                <a:graphic xmlns:a="http://schemas.openxmlformats.org/drawingml/2006/main">
                  <a:graphicData uri="http://schemas.microsoft.com/office/word/2010/wordprocessingShape">
                    <wps:wsp>
                      <wps:cNvSpPr txBox="1"/>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614665D4">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wps:txbx>
                      <wps:bodyPr wrap="square" upright="1"/>
                    </wps:wsp>
                  </a:graphicData>
                </a:graphic>
              </wp:anchor>
            </w:drawing>
          </mc:Choice>
          <mc:Fallback>
            <w:pict>
              <v:shape id="_x0000_s1026" o:spid="_x0000_s1026" o:spt="202" type="#_x0000_t202" style="position:absolute;left:0pt;margin-left:305.4pt;margin-top:28.45pt;height:44.35pt;width:98.7pt;z-index:251659264;mso-width-relative:page;mso-height-relative:page;" fillcolor="#FFFFFF" filled="t" stroked="t" coordsize="21600,21600" o:gfxdata="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1XXs+2QAAAAoB&#10;AAAPAAAAAAAAAAEAIAAAACIAAABkcnMvZG93bnJldi54bWxQSwECFAAUAAAACACHTuJAIeVfCRoC&#10;AABSBAAADgAAAAAAAAABACAAAAAoAQAAZHJzL2Uyb0RvYy54bWxQSwUGAAAAAAYABgBZAQAAtAUA&#10;AAAA&#10;">
                <v:fill on="t" focussize="0,0"/>
                <v:stroke color="#000000" joinstyle="miter"/>
                <v:imagedata o:title=""/>
                <o:lock v:ext="edit" aspectratio="f"/>
                <v:textbox>
                  <w:txbxContent>
                    <w:p w14:paraId="614665D4">
                      <w:pPr>
                        <w:rPr>
                          <w:rFonts w:ascii="仿宋_GB2312" w:hAnsi="仿宋_GB2312" w:eastAsia="仿宋_GB2312" w:cs="仿宋_GB2312"/>
                          <w:sz w:val="32"/>
                          <w:szCs w:val="32"/>
                        </w:rPr>
                      </w:pPr>
                      <w:r>
                        <w:rPr>
                          <w:rFonts w:hint="eastAsia" w:ascii="仿宋_GB2312" w:hAnsi="仿宋_GB2312" w:eastAsia="仿宋_GB2312" w:cs="仿宋_GB2312"/>
                          <w:sz w:val="32"/>
                          <w:szCs w:val="32"/>
                        </w:rPr>
                        <w:t>正本/副本</w:t>
                      </w:r>
                    </w:p>
                  </w:txbxContent>
                </v:textbox>
              </v:shape>
            </w:pict>
          </mc:Fallback>
        </mc:AlternateContent>
      </w:r>
      <w:r>
        <w:rPr>
          <w:rFonts w:hint="eastAsia" w:ascii="方正小标宋简体" w:hAnsi="仿宋_GB2312" w:eastAsia="方正小标宋简体" w:cs="仿宋_GB2312"/>
          <w:color w:val="auto"/>
          <w:sz w:val="32"/>
          <w:szCs w:val="32"/>
          <w:highlight w:val="none"/>
        </w:rPr>
        <w:t>投标文件的封皮</w:t>
      </w:r>
    </w:p>
    <w:p w14:paraId="24AB4E11">
      <w:pPr>
        <w:rPr>
          <w:rFonts w:ascii="仿宋_GB2312" w:hAnsi="仿宋" w:eastAsia="仿宋_GB2312" w:cs="仿宋_GB2312"/>
          <w:color w:val="auto"/>
          <w:highlight w:val="none"/>
        </w:rPr>
      </w:pPr>
    </w:p>
    <w:p w14:paraId="60B27BDE">
      <w:pPr>
        <w:rPr>
          <w:rFonts w:ascii="仿宋_GB2312" w:hAnsi="仿宋" w:eastAsia="仿宋_GB2312" w:cs="仿宋_GB2312"/>
          <w:color w:val="auto"/>
          <w:highlight w:val="none"/>
        </w:rPr>
      </w:pPr>
    </w:p>
    <w:p w14:paraId="6E3B1607">
      <w:pPr>
        <w:rPr>
          <w:rFonts w:ascii="仿宋_GB2312" w:hAnsi="仿宋" w:eastAsia="仿宋_GB2312" w:cs="仿宋_GB2312"/>
          <w:color w:val="auto"/>
          <w:highlight w:val="none"/>
        </w:rPr>
      </w:pPr>
    </w:p>
    <w:p w14:paraId="2A65489E">
      <w:pPr>
        <w:rPr>
          <w:rFonts w:ascii="仿宋_GB2312" w:hAnsi="仿宋" w:eastAsia="仿宋_GB2312" w:cs="仿宋_GB2312"/>
          <w:color w:val="auto"/>
          <w:highlight w:val="none"/>
        </w:rPr>
      </w:pPr>
    </w:p>
    <w:p w14:paraId="6374CD5E">
      <w:pPr>
        <w:rPr>
          <w:rFonts w:ascii="仿宋_GB2312" w:hAnsi="仿宋" w:eastAsia="仿宋_GB2312" w:cs="仿宋_GB2312"/>
          <w:color w:val="auto"/>
          <w:highlight w:val="none"/>
        </w:rPr>
      </w:pPr>
    </w:p>
    <w:p w14:paraId="3397B8A6">
      <w:pPr>
        <w:rPr>
          <w:rFonts w:ascii="仿宋_GB2312" w:hAnsi="仿宋" w:eastAsia="仿宋_GB2312" w:cs="仿宋_GB2312"/>
          <w:color w:val="auto"/>
          <w:highlight w:val="none"/>
        </w:rPr>
      </w:pPr>
    </w:p>
    <w:p w14:paraId="713E288C">
      <w:pPr>
        <w:rPr>
          <w:rFonts w:ascii="仿宋_GB2312" w:hAnsi="仿宋" w:eastAsia="仿宋_GB2312" w:cs="仿宋_GB2312"/>
          <w:color w:val="auto"/>
          <w:highlight w:val="none"/>
        </w:rPr>
      </w:pPr>
    </w:p>
    <w:p w14:paraId="339580E6">
      <w:pPr>
        <w:rPr>
          <w:rFonts w:ascii="仿宋_GB2312" w:hAnsi="仿宋" w:eastAsia="仿宋_GB2312" w:cs="仿宋_GB2312"/>
          <w:color w:val="auto"/>
          <w:highlight w:val="none"/>
        </w:rPr>
      </w:pPr>
    </w:p>
    <w:p w14:paraId="5D30F860">
      <w:pPr>
        <w:pStyle w:val="24"/>
        <w:rPr>
          <w:color w:val="auto"/>
          <w:highlight w:val="none"/>
        </w:rPr>
      </w:pPr>
    </w:p>
    <w:p w14:paraId="1350E1C0">
      <w:pPr>
        <w:rPr>
          <w:rFonts w:ascii="仿宋_GB2312" w:hAnsi="仿宋" w:eastAsia="仿宋_GB2312" w:cs="仿宋_GB2312"/>
          <w:color w:val="auto"/>
          <w:highlight w:val="none"/>
        </w:rPr>
      </w:pPr>
    </w:p>
    <w:p w14:paraId="440F6C5E">
      <w:pPr>
        <w:rPr>
          <w:rFonts w:ascii="仿宋_GB2312" w:hAnsi="仿宋" w:eastAsia="仿宋_GB2312" w:cs="仿宋_GB2312"/>
          <w:color w:val="auto"/>
          <w:highlight w:val="none"/>
        </w:rPr>
      </w:pPr>
    </w:p>
    <w:p w14:paraId="6F652AD4">
      <w:pPr>
        <w:jc w:val="center"/>
        <w:rPr>
          <w:rFonts w:ascii="黑体" w:hAnsi="黑体" w:eastAsia="黑体" w:cs="仿宋_GB2312"/>
          <w:b/>
          <w:bCs/>
          <w:color w:val="auto"/>
          <w:sz w:val="72"/>
          <w:szCs w:val="72"/>
          <w:highlight w:val="none"/>
        </w:rPr>
      </w:pPr>
      <w:r>
        <w:rPr>
          <w:rFonts w:hint="eastAsia" w:ascii="黑体" w:hAnsi="黑体" w:eastAsia="黑体" w:cs="仿宋_GB2312"/>
          <w:b/>
          <w:bCs/>
          <w:color w:val="auto"/>
          <w:sz w:val="72"/>
          <w:szCs w:val="72"/>
          <w:highlight w:val="none"/>
        </w:rPr>
        <w:t>投  标  文  件</w:t>
      </w:r>
    </w:p>
    <w:p w14:paraId="1EC3BDE9">
      <w:pPr>
        <w:rPr>
          <w:rFonts w:ascii="仿宋_GB2312" w:hAnsi="仿宋" w:eastAsia="仿宋_GB2312" w:cs="仿宋_GB2312"/>
          <w:color w:val="auto"/>
          <w:highlight w:val="none"/>
        </w:rPr>
      </w:pPr>
    </w:p>
    <w:p w14:paraId="41D17777">
      <w:pPr>
        <w:rPr>
          <w:rFonts w:ascii="仿宋_GB2312" w:hAnsi="仿宋" w:eastAsia="仿宋_GB2312" w:cs="仿宋_GB2312"/>
          <w:color w:val="auto"/>
          <w:highlight w:val="none"/>
        </w:rPr>
      </w:pPr>
    </w:p>
    <w:p w14:paraId="37925AD6">
      <w:pPr>
        <w:rPr>
          <w:rFonts w:ascii="仿宋_GB2312" w:hAnsi="仿宋" w:eastAsia="仿宋_GB2312" w:cs="仿宋_GB2312"/>
          <w:color w:val="auto"/>
          <w:highlight w:val="none"/>
        </w:rPr>
      </w:pPr>
    </w:p>
    <w:p w14:paraId="007B24FC">
      <w:pPr>
        <w:rPr>
          <w:rFonts w:ascii="仿宋_GB2312" w:hAnsi="仿宋" w:eastAsia="仿宋_GB2312" w:cs="仿宋_GB2312"/>
          <w:color w:val="auto"/>
          <w:sz w:val="28"/>
          <w:szCs w:val="28"/>
          <w:highlight w:val="none"/>
        </w:rPr>
      </w:pPr>
    </w:p>
    <w:p w14:paraId="18EF671C">
      <w:pPr>
        <w:rPr>
          <w:rFonts w:ascii="仿宋_GB2312" w:hAnsi="仿宋" w:eastAsia="仿宋_GB2312" w:cs="仿宋_GB2312"/>
          <w:color w:val="auto"/>
          <w:sz w:val="28"/>
          <w:szCs w:val="28"/>
          <w:highlight w:val="none"/>
        </w:rPr>
      </w:pPr>
    </w:p>
    <w:p w14:paraId="62F61294">
      <w:pPr>
        <w:rPr>
          <w:rFonts w:ascii="仿宋_GB2312" w:hAnsi="仿宋" w:eastAsia="仿宋_GB2312" w:cs="仿宋_GB2312"/>
          <w:color w:val="auto"/>
          <w:sz w:val="28"/>
          <w:szCs w:val="28"/>
          <w:highlight w:val="none"/>
        </w:rPr>
      </w:pPr>
    </w:p>
    <w:p w14:paraId="7A9483BF">
      <w:pPr>
        <w:pStyle w:val="15"/>
        <w:rPr>
          <w:rFonts w:ascii="仿宋_GB2312" w:hAnsi="仿宋" w:eastAsia="仿宋_GB2312" w:cs="仿宋_GB2312"/>
          <w:color w:val="auto"/>
          <w:sz w:val="28"/>
          <w:szCs w:val="28"/>
          <w:highlight w:val="none"/>
        </w:rPr>
      </w:pPr>
    </w:p>
    <w:p w14:paraId="7128EB1C">
      <w:pPr>
        <w:pStyle w:val="15"/>
        <w:rPr>
          <w:rFonts w:ascii="仿宋_GB2312" w:hAnsi="仿宋" w:eastAsia="仿宋_GB2312" w:cs="仿宋_GB2312"/>
          <w:color w:val="auto"/>
          <w:sz w:val="28"/>
          <w:szCs w:val="28"/>
          <w:highlight w:val="none"/>
        </w:rPr>
      </w:pPr>
    </w:p>
    <w:p w14:paraId="1E9E8462">
      <w:pPr>
        <w:pStyle w:val="15"/>
        <w:rPr>
          <w:rFonts w:ascii="仿宋_GB2312" w:hAnsi="仿宋" w:eastAsia="仿宋_GB2312" w:cs="仿宋_GB2312"/>
          <w:color w:val="auto"/>
          <w:sz w:val="28"/>
          <w:szCs w:val="28"/>
          <w:highlight w:val="none"/>
        </w:rPr>
      </w:pPr>
    </w:p>
    <w:p w14:paraId="46E0EDAD">
      <w:pPr>
        <w:rPr>
          <w:rFonts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所投包号：第</w:t>
      </w:r>
      <w:r>
        <w:rPr>
          <w:rFonts w:ascii="仿宋_GB2312" w:hAnsi="仿宋" w:eastAsia="仿宋_GB2312" w:cs="仿宋_GB2312"/>
          <w:color w:val="auto"/>
          <w:sz w:val="28"/>
          <w:szCs w:val="28"/>
          <w:highlight w:val="none"/>
        </w:rPr>
        <w:t xml:space="preserve">  </w:t>
      </w:r>
      <w:r>
        <w:rPr>
          <w:rFonts w:hint="eastAsia" w:ascii="仿宋_GB2312" w:hAnsi="仿宋" w:eastAsia="仿宋_GB2312" w:cs="仿宋_GB2312"/>
          <w:color w:val="auto"/>
          <w:sz w:val="28"/>
          <w:szCs w:val="28"/>
          <w:highlight w:val="none"/>
        </w:rPr>
        <w:t>包</w:t>
      </w:r>
    </w:p>
    <w:p w14:paraId="0FF13239">
      <w:pPr>
        <w:rPr>
          <w:rFonts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项目名称：</w:t>
      </w:r>
    </w:p>
    <w:p w14:paraId="331E05AE">
      <w:pPr>
        <w:rPr>
          <w:rFonts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项目编号：</w:t>
      </w:r>
    </w:p>
    <w:p w14:paraId="4C573DA4">
      <w:pPr>
        <w:rPr>
          <w:rFonts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投标人名称：</w:t>
      </w:r>
    </w:p>
    <w:p w14:paraId="27513C71">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br w:type="page"/>
      </w:r>
      <w:r>
        <w:rPr>
          <w:rFonts w:hint="eastAsia" w:ascii="仿宋_GB2312" w:hAnsi="仿宋" w:eastAsia="仿宋_GB2312" w:cs="仿宋_GB2312"/>
          <w:color w:val="auto"/>
          <w:szCs w:val="28"/>
          <w:highlight w:val="none"/>
        </w:rPr>
        <w:t>格式3</w:t>
      </w:r>
    </w:p>
    <w:p w14:paraId="3C451951">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bookmarkStart w:id="91" w:name="_Toc21414_WPSOffice_Level2"/>
      <w:bookmarkStart w:id="92" w:name="_Toc2304_WPSOffice_Level2"/>
      <w:r>
        <w:rPr>
          <w:rFonts w:hint="eastAsia" w:ascii="方正小标宋简体" w:hAnsi="仿宋_GB2312" w:eastAsia="方正小标宋简体" w:cs="仿宋_GB2312"/>
          <w:color w:val="auto"/>
          <w:sz w:val="32"/>
          <w:szCs w:val="32"/>
          <w:highlight w:val="none"/>
        </w:rPr>
        <w:t>目  录</w:t>
      </w:r>
      <w:bookmarkEnd w:id="91"/>
      <w:bookmarkEnd w:id="92"/>
    </w:p>
    <w:p w14:paraId="5A557989">
      <w:pPr>
        <w:rPr>
          <w:rFonts w:ascii="仿宋_GB2312" w:hAnsi="仿宋" w:eastAsia="仿宋_GB2312" w:cs="仿宋_GB2312"/>
          <w:bCs/>
          <w:color w:val="auto"/>
          <w:sz w:val="24"/>
          <w:highlight w:val="none"/>
        </w:rPr>
      </w:pPr>
      <w:bookmarkStart w:id="93" w:name="_Toc30940_WPSOffice_Level2"/>
      <w:bookmarkStart w:id="94" w:name="_Toc7636_WPSOffice_Level2"/>
      <w:r>
        <w:rPr>
          <w:rFonts w:hint="eastAsia" w:ascii="仿宋_GB2312" w:hAnsi="仿宋" w:eastAsia="仿宋_GB2312" w:cs="仿宋_GB2312"/>
          <w:bCs/>
          <w:color w:val="auto"/>
          <w:sz w:val="24"/>
          <w:highlight w:val="none"/>
        </w:rPr>
        <w:t>一、资格证明材料</w:t>
      </w:r>
      <w:bookmarkEnd w:id="93"/>
      <w:bookmarkEnd w:id="94"/>
    </w:p>
    <w:p w14:paraId="401BDA7C">
      <w:pPr>
        <w:spacing w:line="300" w:lineRule="auto"/>
        <w:ind w:firstLine="420" w:firstLineChars="200"/>
        <w:rPr>
          <w:rFonts w:ascii="仿宋_GB2312" w:hAnsi="仿宋" w:eastAsia="仿宋_GB2312" w:cs="仿宋_GB2312"/>
          <w:color w:val="auto"/>
          <w:highlight w:val="none"/>
        </w:rPr>
      </w:pPr>
      <w:bookmarkStart w:id="95" w:name="_Hlk80971012"/>
      <w:bookmarkStart w:id="96" w:name="_Toc13950_WPSOffice_Level2"/>
      <w:bookmarkStart w:id="97" w:name="_Toc31702_WPSOffice_Level2"/>
      <w:r>
        <w:rPr>
          <w:rFonts w:hint="eastAsia" w:ascii="仿宋_GB2312" w:hAnsi="仿宋" w:eastAsia="仿宋_GB2312" w:cs="仿宋_GB2312"/>
          <w:color w:val="auto"/>
          <w:highlight w:val="none"/>
        </w:rPr>
        <w:t>1.1营业执照………………………………………………………………………所在页码</w:t>
      </w:r>
    </w:p>
    <w:p w14:paraId="7BEFA388">
      <w:pPr>
        <w:spacing w:line="300" w:lineRule="auto"/>
        <w:ind w:firstLine="420" w:firstLineChars="20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1.2法定代表人（或非法人组织负责人）身份证明书…………………………所在页码</w:t>
      </w:r>
    </w:p>
    <w:p w14:paraId="5A823FE7">
      <w:pPr>
        <w:spacing w:line="300" w:lineRule="auto"/>
        <w:ind w:firstLine="420" w:firstLineChars="20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1.3法定代表人（或非法人组织负责人）授权委托书…………………………所在页码</w:t>
      </w:r>
    </w:p>
    <w:p w14:paraId="1FCC6AAD">
      <w:pPr>
        <w:spacing w:line="300" w:lineRule="auto"/>
        <w:ind w:firstLine="420" w:firstLineChars="20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1.4商业信誉和健全的财务会计制度的承诺函…………………………………所在页码</w:t>
      </w:r>
    </w:p>
    <w:p w14:paraId="536CD886">
      <w:pPr>
        <w:adjustRightInd w:val="0"/>
        <w:snapToGrid w:val="0"/>
        <w:spacing w:line="300" w:lineRule="auto"/>
        <w:ind w:left="840" w:leftChars="200" w:hanging="420" w:hangingChars="200"/>
        <w:jc w:val="left"/>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1.5开标时间前六个月内任一个月的依法缴纳税收的缴款凭据复印件</w:t>
      </w:r>
      <w:r>
        <w:rPr>
          <w:rFonts w:hint="eastAsia" w:ascii="仿宋_GB2312" w:hAnsi="仿宋" w:eastAsia="仿宋_GB2312" w:cs="仿宋_GB2312"/>
          <w:color w:val="auto"/>
          <w:szCs w:val="21"/>
          <w:highlight w:val="none"/>
          <w:lang w:val="en-US" w:eastAsia="zh-CN"/>
        </w:rPr>
        <w:t>加盖</w:t>
      </w:r>
      <w:r>
        <w:rPr>
          <w:rFonts w:hint="eastAsia" w:ascii="仿宋_GB2312" w:hAnsi="仿宋" w:eastAsia="仿宋_GB2312" w:cs="仿宋_GB2312"/>
          <w:color w:val="auto"/>
          <w:szCs w:val="21"/>
          <w:highlight w:val="none"/>
          <w:lang w:val="en-US" w:eastAsia="zh-CN"/>
        </w:rPr>
        <w:br w:type="textWrapping"/>
      </w:r>
      <w:r>
        <w:rPr>
          <w:rFonts w:hint="eastAsia" w:ascii="仿宋_GB2312" w:hAnsi="仿宋" w:eastAsia="仿宋_GB2312" w:cs="仿宋_GB2312"/>
          <w:color w:val="auto"/>
          <w:szCs w:val="21"/>
          <w:highlight w:val="none"/>
          <w:lang w:val="en-US" w:eastAsia="zh-CN"/>
        </w:rPr>
        <w:t>公章</w:t>
      </w:r>
      <w:r>
        <w:rPr>
          <w:rFonts w:hint="eastAsia" w:ascii="仿宋_GB2312" w:hAnsi="仿宋" w:eastAsia="仿宋_GB2312" w:cs="仿宋_GB2312"/>
          <w:color w:val="auto"/>
          <w:highlight w:val="none"/>
        </w:rPr>
        <w:t>……………………………………………………………………………所在页码</w:t>
      </w:r>
    </w:p>
    <w:p w14:paraId="6221C261">
      <w:pPr>
        <w:adjustRightInd w:val="0"/>
        <w:snapToGrid w:val="0"/>
        <w:spacing w:line="300" w:lineRule="auto"/>
        <w:ind w:firstLine="420" w:firstLineChars="200"/>
        <w:jc w:val="left"/>
        <w:rPr>
          <w:rFonts w:ascii="仿宋_GB2312" w:hAnsi="仿宋" w:eastAsia="仿宋_GB2312" w:cs="仿宋_GB2312"/>
          <w:color w:val="auto"/>
          <w:szCs w:val="21"/>
          <w:highlight w:val="none"/>
        </w:rPr>
      </w:pPr>
      <w:r>
        <w:rPr>
          <w:rFonts w:hint="eastAsia" w:ascii="仿宋_GB2312" w:hAnsi="仿宋" w:eastAsia="仿宋_GB2312" w:cs="仿宋_GB2312"/>
          <w:color w:val="auto"/>
          <w:highlight w:val="none"/>
        </w:rPr>
        <w:t>1.6</w:t>
      </w:r>
      <w:r>
        <w:rPr>
          <w:rFonts w:hint="eastAsia" w:ascii="仿宋_GB2312" w:hAnsi="仿宋" w:eastAsia="仿宋_GB2312" w:cs="仿宋_GB2312"/>
          <w:color w:val="auto"/>
          <w:szCs w:val="21"/>
          <w:highlight w:val="none"/>
        </w:rPr>
        <w:t>开标时间前六个月内任一个月的依法缴纳社会保障资金的缴款凭据</w:t>
      </w:r>
    </w:p>
    <w:p w14:paraId="4B174517">
      <w:pPr>
        <w:adjustRightInd w:val="0"/>
        <w:snapToGrid w:val="0"/>
        <w:spacing w:line="300" w:lineRule="auto"/>
        <w:ind w:firstLine="840" w:firstLineChars="400"/>
        <w:jc w:val="left"/>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复印件</w:t>
      </w:r>
      <w:r>
        <w:rPr>
          <w:rFonts w:hint="eastAsia" w:ascii="仿宋_GB2312" w:hAnsi="仿宋" w:eastAsia="仿宋_GB2312" w:cs="仿宋_GB2312"/>
          <w:color w:val="auto"/>
          <w:szCs w:val="21"/>
          <w:highlight w:val="none"/>
          <w:lang w:val="en-US" w:eastAsia="zh-CN"/>
        </w:rPr>
        <w:t>加盖公章</w:t>
      </w:r>
      <w:r>
        <w:rPr>
          <w:rFonts w:hint="eastAsia" w:ascii="仿宋_GB2312" w:hAnsi="仿宋" w:eastAsia="仿宋_GB2312" w:cs="仿宋_GB2312"/>
          <w:color w:val="auto"/>
          <w:highlight w:val="none"/>
        </w:rPr>
        <w:t>………………………………………………………………所在页码</w:t>
      </w:r>
    </w:p>
    <w:p w14:paraId="6C60FFBA">
      <w:pPr>
        <w:spacing w:line="300" w:lineRule="auto"/>
        <w:ind w:firstLine="420" w:firstLineChars="20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1.7</w:t>
      </w:r>
      <w:r>
        <w:rPr>
          <w:rFonts w:hint="eastAsia" w:ascii="仿宋_GB2312" w:hAnsi="仿宋" w:eastAsia="仿宋_GB2312" w:cs="仿宋_GB2312"/>
          <w:color w:val="auto"/>
          <w:szCs w:val="21"/>
          <w:highlight w:val="none"/>
        </w:rPr>
        <w:t>履行合同所必需的设备和专业技术能力声明函</w:t>
      </w:r>
      <w:r>
        <w:rPr>
          <w:rFonts w:hint="eastAsia" w:ascii="仿宋_GB2312" w:hAnsi="仿宋" w:eastAsia="仿宋_GB2312" w:cs="仿宋_GB2312"/>
          <w:color w:val="auto"/>
          <w:highlight w:val="none"/>
        </w:rPr>
        <w:t>……………………………所在页码</w:t>
      </w:r>
    </w:p>
    <w:p w14:paraId="570F4126">
      <w:pPr>
        <w:spacing w:line="300" w:lineRule="auto"/>
        <w:ind w:firstLine="420" w:firstLineChars="20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1.8</w:t>
      </w:r>
      <w:r>
        <w:rPr>
          <w:rFonts w:hint="eastAsia" w:ascii="仿宋_GB2312" w:hAnsi="仿宋" w:eastAsia="仿宋_GB2312" w:cs="仿宋_GB2312"/>
          <w:color w:val="auto"/>
          <w:szCs w:val="21"/>
          <w:highlight w:val="none"/>
        </w:rPr>
        <w:t>政府采购活动前3年内在经营活动中没有重大违法记录的书面声明</w:t>
      </w:r>
      <w:r>
        <w:rPr>
          <w:rFonts w:hint="eastAsia" w:ascii="仿宋_GB2312" w:hAnsi="仿宋" w:eastAsia="仿宋_GB2312" w:cs="仿宋_GB2312"/>
          <w:color w:val="auto"/>
          <w:highlight w:val="none"/>
        </w:rPr>
        <w:t>……所在页码</w:t>
      </w:r>
    </w:p>
    <w:bookmarkEnd w:id="95"/>
    <w:p w14:paraId="1FE34293">
      <w:pPr>
        <w:rPr>
          <w:rFonts w:ascii="仿宋_GB2312" w:hAnsi="仿宋" w:eastAsia="仿宋_GB2312" w:cs="仿宋_GB2312"/>
          <w:bCs/>
          <w:color w:val="auto"/>
          <w:sz w:val="24"/>
          <w:highlight w:val="none"/>
        </w:rPr>
      </w:pPr>
      <w:r>
        <w:rPr>
          <w:rFonts w:hint="eastAsia" w:ascii="仿宋_GB2312" w:hAnsi="仿宋" w:eastAsia="仿宋_GB2312" w:cs="仿宋_GB2312"/>
          <w:bCs/>
          <w:color w:val="auto"/>
          <w:sz w:val="24"/>
          <w:highlight w:val="none"/>
        </w:rPr>
        <w:t>二、符合性证明材料</w:t>
      </w:r>
      <w:bookmarkEnd w:id="96"/>
      <w:bookmarkEnd w:id="97"/>
    </w:p>
    <w:p w14:paraId="2B6F5F23">
      <w:pPr>
        <w:spacing w:line="300" w:lineRule="auto"/>
        <w:ind w:firstLine="420" w:firstLineChars="200"/>
        <w:rPr>
          <w:rFonts w:ascii="仿宋_GB2312" w:hAnsi="仿宋" w:eastAsia="仿宋_GB2312" w:cs="仿宋_GB2312"/>
          <w:color w:val="auto"/>
          <w:kern w:val="0"/>
          <w:szCs w:val="21"/>
          <w:highlight w:val="none"/>
        </w:rPr>
      </w:pPr>
      <w:bookmarkStart w:id="98" w:name="_Hlk80971027"/>
      <w:r>
        <w:rPr>
          <w:rFonts w:hint="eastAsia" w:ascii="仿宋_GB2312" w:hAnsi="仿宋" w:eastAsia="仿宋_GB2312" w:cs="仿宋_GB2312"/>
          <w:color w:val="auto"/>
          <w:highlight w:val="none"/>
        </w:rPr>
        <w:t>2.1</w:t>
      </w:r>
      <w:r>
        <w:rPr>
          <w:rFonts w:hint="eastAsia" w:ascii="仿宋_GB2312" w:hAnsi="仿宋" w:eastAsia="仿宋_GB2312" w:cs="仿宋_GB2312"/>
          <w:color w:val="auto"/>
          <w:kern w:val="0"/>
          <w:szCs w:val="21"/>
          <w:highlight w:val="none"/>
        </w:rPr>
        <w:t>投标函</w:t>
      </w:r>
      <w:r>
        <w:rPr>
          <w:rFonts w:hint="eastAsia" w:ascii="仿宋_GB2312" w:hAnsi="仿宋" w:eastAsia="仿宋_GB2312" w:cs="仿宋_GB2312"/>
          <w:color w:val="auto"/>
          <w:highlight w:val="none"/>
        </w:rPr>
        <w:t>…………………………………………………………………………所在页码</w:t>
      </w:r>
    </w:p>
    <w:p w14:paraId="61755DD4">
      <w:pPr>
        <w:spacing w:line="300" w:lineRule="auto"/>
        <w:ind w:firstLine="420" w:firstLineChars="200"/>
        <w:rPr>
          <w:rFonts w:ascii="仿宋_GB2312" w:hAnsi="仿宋" w:eastAsia="仿宋_GB2312" w:cs="仿宋_GB2312"/>
          <w:color w:val="auto"/>
          <w:kern w:val="0"/>
          <w:szCs w:val="21"/>
          <w:highlight w:val="none"/>
        </w:rPr>
      </w:pPr>
      <w:r>
        <w:rPr>
          <w:rFonts w:hint="eastAsia" w:ascii="仿宋_GB2312" w:hAnsi="仿宋" w:eastAsia="仿宋_GB2312" w:cs="仿宋_GB2312"/>
          <w:color w:val="auto"/>
          <w:kern w:val="0"/>
          <w:szCs w:val="21"/>
          <w:highlight w:val="none"/>
        </w:rPr>
        <w:t>2.2递交投标保证金证明材料</w:t>
      </w:r>
      <w:r>
        <w:rPr>
          <w:rFonts w:hint="eastAsia" w:ascii="仿宋_GB2312" w:hAnsi="仿宋" w:eastAsia="仿宋_GB2312" w:cs="仿宋_GB2312"/>
          <w:color w:val="auto"/>
          <w:highlight w:val="none"/>
        </w:rPr>
        <w:t>……………………………………………………所在页码</w:t>
      </w:r>
    </w:p>
    <w:p w14:paraId="2C352170">
      <w:pPr>
        <w:spacing w:line="300" w:lineRule="auto"/>
        <w:ind w:firstLine="420" w:firstLineChars="200"/>
        <w:rPr>
          <w:rFonts w:ascii="仿宋_GB2312" w:hAnsi="仿宋" w:eastAsia="仿宋_GB2312" w:cs="仿宋_GB2312"/>
          <w:color w:val="auto"/>
          <w:kern w:val="0"/>
          <w:szCs w:val="21"/>
          <w:highlight w:val="none"/>
        </w:rPr>
      </w:pPr>
      <w:r>
        <w:rPr>
          <w:rFonts w:hint="eastAsia" w:ascii="仿宋_GB2312" w:hAnsi="仿宋" w:eastAsia="仿宋_GB2312" w:cs="仿宋_GB2312"/>
          <w:color w:val="auto"/>
          <w:kern w:val="0"/>
          <w:szCs w:val="21"/>
          <w:highlight w:val="none"/>
        </w:rPr>
        <w:t>2.3开标一览表</w:t>
      </w:r>
      <w:r>
        <w:rPr>
          <w:rFonts w:hint="eastAsia" w:ascii="仿宋_GB2312" w:hAnsi="仿宋" w:eastAsia="仿宋_GB2312" w:cs="仿宋_GB2312"/>
          <w:color w:val="auto"/>
          <w:highlight w:val="none"/>
        </w:rPr>
        <w:t>……………………………………………………………………所在页码</w:t>
      </w:r>
    </w:p>
    <w:p w14:paraId="19D9F00B">
      <w:pPr>
        <w:spacing w:line="300" w:lineRule="auto"/>
        <w:ind w:firstLine="420" w:firstLineChars="200"/>
        <w:rPr>
          <w:rFonts w:ascii="仿宋_GB2312" w:hAnsi="仿宋" w:eastAsia="仿宋_GB2312" w:cs="仿宋_GB2312"/>
          <w:color w:val="auto"/>
          <w:kern w:val="0"/>
          <w:szCs w:val="21"/>
          <w:highlight w:val="none"/>
        </w:rPr>
      </w:pPr>
      <w:r>
        <w:rPr>
          <w:rFonts w:hint="eastAsia" w:ascii="仿宋_GB2312" w:hAnsi="仿宋" w:eastAsia="仿宋_GB2312" w:cs="仿宋_GB2312"/>
          <w:color w:val="auto"/>
          <w:kern w:val="0"/>
          <w:szCs w:val="21"/>
          <w:highlight w:val="none"/>
        </w:rPr>
        <w:t>2.4分项报价表</w:t>
      </w:r>
      <w:r>
        <w:rPr>
          <w:rFonts w:hint="eastAsia" w:ascii="仿宋_GB2312" w:hAnsi="仿宋" w:eastAsia="仿宋_GB2312" w:cs="仿宋_GB2312"/>
          <w:color w:val="auto"/>
          <w:highlight w:val="none"/>
        </w:rPr>
        <w:t>……………………………………………………………………所在页码</w:t>
      </w:r>
    </w:p>
    <w:p w14:paraId="4A942857">
      <w:pPr>
        <w:spacing w:line="300" w:lineRule="auto"/>
        <w:ind w:firstLine="420" w:firstLineChars="200"/>
        <w:rPr>
          <w:rFonts w:ascii="仿宋_GB2312" w:hAnsi="仿宋" w:eastAsia="仿宋_GB2312" w:cs="仿宋_GB2312"/>
          <w:color w:val="auto"/>
          <w:kern w:val="0"/>
          <w:szCs w:val="21"/>
          <w:highlight w:val="none"/>
        </w:rPr>
      </w:pPr>
      <w:r>
        <w:rPr>
          <w:rFonts w:hint="eastAsia" w:ascii="仿宋_GB2312" w:hAnsi="仿宋" w:eastAsia="仿宋_GB2312" w:cs="仿宋_GB2312"/>
          <w:color w:val="auto"/>
          <w:kern w:val="0"/>
          <w:szCs w:val="21"/>
          <w:highlight w:val="none"/>
        </w:rPr>
        <w:t>2.5技术规格偏离表</w:t>
      </w:r>
      <w:r>
        <w:rPr>
          <w:rFonts w:hint="eastAsia" w:ascii="仿宋_GB2312" w:hAnsi="仿宋" w:eastAsia="仿宋_GB2312" w:cs="仿宋_GB2312"/>
          <w:color w:val="auto"/>
          <w:highlight w:val="none"/>
        </w:rPr>
        <w:t>………………………………………………………………所在页码</w:t>
      </w:r>
    </w:p>
    <w:p w14:paraId="383DE1F2">
      <w:pPr>
        <w:spacing w:line="300" w:lineRule="auto"/>
        <w:ind w:firstLine="420" w:firstLineChars="200"/>
        <w:rPr>
          <w:rFonts w:ascii="仿宋_GB2312" w:hAnsi="仿宋" w:eastAsia="仿宋_GB2312" w:cs="仿宋_GB2312"/>
          <w:color w:val="auto"/>
          <w:kern w:val="0"/>
          <w:szCs w:val="21"/>
          <w:highlight w:val="none"/>
        </w:rPr>
      </w:pPr>
      <w:r>
        <w:rPr>
          <w:rFonts w:hint="eastAsia" w:ascii="仿宋_GB2312" w:hAnsi="仿宋" w:eastAsia="仿宋_GB2312" w:cs="仿宋_GB2312"/>
          <w:color w:val="auto"/>
          <w:kern w:val="0"/>
          <w:szCs w:val="21"/>
          <w:highlight w:val="none"/>
        </w:rPr>
        <w:t>2.6商务条款偏离表</w:t>
      </w:r>
      <w:r>
        <w:rPr>
          <w:rFonts w:hint="eastAsia" w:ascii="仿宋_GB2312" w:hAnsi="仿宋" w:eastAsia="仿宋_GB2312" w:cs="仿宋_GB2312"/>
          <w:color w:val="auto"/>
          <w:highlight w:val="none"/>
        </w:rPr>
        <w:t>………………………………………………………………所在页码</w:t>
      </w:r>
    </w:p>
    <w:p w14:paraId="55FE26FD">
      <w:pPr>
        <w:spacing w:line="300" w:lineRule="auto"/>
        <w:ind w:firstLine="420" w:firstLineChars="200"/>
        <w:rPr>
          <w:rFonts w:ascii="仿宋_GB2312" w:hAnsi="仿宋" w:eastAsia="仿宋_GB2312" w:cs="仿宋_GB2312"/>
          <w:color w:val="auto"/>
          <w:kern w:val="0"/>
          <w:szCs w:val="21"/>
          <w:highlight w:val="none"/>
        </w:rPr>
      </w:pPr>
      <w:r>
        <w:rPr>
          <w:rFonts w:hint="eastAsia" w:ascii="仿宋_GB2312" w:hAnsi="仿宋" w:eastAsia="仿宋_GB2312" w:cs="仿宋_GB2312"/>
          <w:color w:val="auto"/>
          <w:kern w:val="0"/>
          <w:szCs w:val="21"/>
          <w:highlight w:val="none"/>
        </w:rPr>
        <w:t>2.7投标人关联单位说明…………………………………………………………所在页码</w:t>
      </w:r>
    </w:p>
    <w:p w14:paraId="77F78FE9">
      <w:pPr>
        <w:spacing w:line="300" w:lineRule="auto"/>
        <w:ind w:firstLine="420" w:firstLineChars="200"/>
        <w:rPr>
          <w:rFonts w:ascii="仿宋_GB2312" w:hAnsi="仿宋" w:eastAsia="仿宋_GB2312" w:cs="仿宋_GB2312"/>
          <w:color w:val="auto"/>
          <w:kern w:val="0"/>
          <w:szCs w:val="21"/>
          <w:highlight w:val="none"/>
        </w:rPr>
      </w:pPr>
      <w:r>
        <w:rPr>
          <w:rFonts w:hint="eastAsia" w:ascii="仿宋_GB2312" w:hAnsi="仿宋" w:eastAsia="仿宋_GB2312" w:cs="仿宋_GB2312"/>
          <w:color w:val="auto"/>
          <w:kern w:val="0"/>
          <w:szCs w:val="21"/>
          <w:highlight w:val="none"/>
        </w:rPr>
        <w:t>2.8文件一致性承诺函……………………………………………………………所在页码</w:t>
      </w:r>
    </w:p>
    <w:bookmarkEnd w:id="98"/>
    <w:p w14:paraId="62C57187">
      <w:pPr>
        <w:rPr>
          <w:rFonts w:ascii="仿宋_GB2312" w:hAnsi="仿宋" w:eastAsia="仿宋_GB2312" w:cs="仿宋_GB2312"/>
          <w:bCs/>
          <w:color w:val="auto"/>
          <w:sz w:val="24"/>
          <w:highlight w:val="none"/>
        </w:rPr>
      </w:pPr>
      <w:bookmarkStart w:id="99" w:name="_Toc14854_WPSOffice_Level2"/>
      <w:bookmarkStart w:id="100" w:name="_Toc9090_WPSOffice_Level2"/>
      <w:r>
        <w:rPr>
          <w:rFonts w:hint="eastAsia" w:ascii="仿宋_GB2312" w:hAnsi="仿宋" w:eastAsia="仿宋_GB2312" w:cs="仿宋_GB2312"/>
          <w:bCs/>
          <w:color w:val="auto"/>
          <w:sz w:val="24"/>
          <w:highlight w:val="none"/>
        </w:rPr>
        <w:t>三、其它材料</w:t>
      </w:r>
      <w:bookmarkEnd w:id="99"/>
      <w:bookmarkEnd w:id="100"/>
      <w:r>
        <w:rPr>
          <w:rFonts w:hint="eastAsia" w:ascii="仿宋_GB2312" w:hAnsi="仿宋" w:eastAsia="仿宋_GB2312" w:cs="仿宋_GB2312"/>
          <w:color w:val="auto"/>
          <w:sz w:val="24"/>
          <w:szCs w:val="32"/>
          <w:highlight w:val="none"/>
        </w:rPr>
        <w:t>（投标人基本情况等）</w:t>
      </w:r>
    </w:p>
    <w:p w14:paraId="3D04EE0D">
      <w:pPr>
        <w:keepNext w:val="0"/>
        <w:keepLines w:val="0"/>
        <w:pageBreakBefore w:val="0"/>
        <w:widowControl w:val="0"/>
        <w:kinsoku/>
        <w:wordWrap/>
        <w:overflowPunct/>
        <w:topLinePunct w:val="0"/>
        <w:autoSpaceDE/>
        <w:autoSpaceDN/>
        <w:bidi w:val="0"/>
        <w:adjustRightInd/>
        <w:snapToGrid w:val="0"/>
        <w:spacing w:before="161" w:beforeLines="50"/>
        <w:ind w:firstLine="480" w:firstLineChars="200"/>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p w14:paraId="2AA1D3F4">
      <w:pPr>
        <w:rPr>
          <w:rFonts w:ascii="仿宋_GB2312" w:hAnsi="仿宋" w:eastAsia="仿宋_GB2312" w:cs="仿宋_GB2312"/>
          <w:color w:val="auto"/>
          <w:sz w:val="24"/>
          <w:highlight w:val="none"/>
        </w:rPr>
      </w:pPr>
    </w:p>
    <w:p w14:paraId="57B14B04">
      <w:pPr>
        <w:adjustRightInd w:val="0"/>
        <w:snapToGrid w:val="0"/>
        <w:spacing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我单位的投标文件由资格证明材料、符合性证明材料和其它材料三部分组成，在此加盖单位公章并由法定代表人（或非法人组织负责人）或其授权委托人签字，保证投标文件中所有材料真实、有效。</w:t>
      </w:r>
    </w:p>
    <w:p w14:paraId="5965CBB4">
      <w:pPr>
        <w:rPr>
          <w:rFonts w:ascii="仿宋_GB2312" w:hAnsi="仿宋" w:eastAsia="仿宋_GB2312" w:cs="仿宋_GB2312"/>
          <w:color w:val="auto"/>
          <w:sz w:val="24"/>
          <w:highlight w:val="none"/>
        </w:rPr>
      </w:pPr>
    </w:p>
    <w:p w14:paraId="1369D981">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39CFE009">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法定代表人（或非法人组织负责人）或其授权委托人(签字或盖章)：</w:t>
      </w:r>
      <w:r>
        <w:rPr>
          <w:rFonts w:hint="eastAsia" w:ascii="仿宋_GB2312" w:hAnsi="仿宋" w:eastAsia="仿宋_GB2312" w:cs="仿宋_GB2312"/>
          <w:color w:val="auto"/>
          <w:sz w:val="24"/>
          <w:highlight w:val="none"/>
          <w:u w:val="single"/>
        </w:rPr>
        <w:t xml:space="preserve">           </w:t>
      </w:r>
    </w:p>
    <w:p w14:paraId="0EAB54D2">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1D834841">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highlight w:val="none"/>
        </w:rPr>
        <w:br w:type="page"/>
      </w:r>
      <w:r>
        <w:rPr>
          <w:rFonts w:hint="eastAsia" w:ascii="仿宋_GB2312" w:hAnsi="仿宋" w:eastAsia="仿宋_GB2312" w:cs="仿宋_GB2312"/>
          <w:color w:val="auto"/>
          <w:szCs w:val="28"/>
          <w:highlight w:val="none"/>
        </w:rPr>
        <w:t>格式4</w:t>
      </w:r>
    </w:p>
    <w:p w14:paraId="2A0C0ACA">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bookmarkStart w:id="101" w:name="_Toc16924_WPSOffice_Level2"/>
      <w:bookmarkStart w:id="102" w:name="_Toc3401_WPSOffice_Level2"/>
      <w:r>
        <w:rPr>
          <w:rFonts w:hint="eastAsia" w:ascii="方正小标宋简体" w:hAnsi="仿宋_GB2312" w:eastAsia="方正小标宋简体" w:cs="仿宋_GB2312"/>
          <w:color w:val="auto"/>
          <w:sz w:val="32"/>
          <w:szCs w:val="32"/>
          <w:highlight w:val="none"/>
        </w:rPr>
        <w:t>法定代表人（或非法人组织负责人）身份证明书</w:t>
      </w:r>
      <w:bookmarkEnd w:id="101"/>
      <w:bookmarkEnd w:id="102"/>
    </w:p>
    <w:p w14:paraId="717FD6A1">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姓名：</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，性别：</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，出生日期：</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，现任职务：</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，系</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（投标人名称）的法定代表人（或非法人组织负责人）。</w:t>
      </w:r>
    </w:p>
    <w:p w14:paraId="4A373401">
      <w:pPr>
        <w:rPr>
          <w:rFonts w:ascii="仿宋_GB2312" w:hAnsi="仿宋" w:eastAsia="仿宋_GB2312" w:cs="仿宋_GB2312"/>
          <w:color w:val="auto"/>
          <w:sz w:val="24"/>
          <w:szCs w:val="21"/>
          <w:highlight w:val="none"/>
        </w:rPr>
      </w:pPr>
    </w:p>
    <w:p w14:paraId="663B5A99">
      <w:pP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特此证明。</w:t>
      </w:r>
    </w:p>
    <w:p w14:paraId="261550E5">
      <w:pPr>
        <w:rPr>
          <w:rFonts w:ascii="仿宋_GB2312" w:hAnsi="仿宋" w:eastAsia="仿宋_GB2312" w:cs="仿宋_GB2312"/>
          <w:color w:val="auto"/>
          <w:sz w:val="24"/>
          <w:szCs w:val="21"/>
          <w:highlight w:val="none"/>
        </w:rPr>
      </w:pPr>
    </w:p>
    <w:p w14:paraId="1D5B4BA1">
      <w:pPr>
        <w:rPr>
          <w:rFonts w:ascii="仿宋_GB2312" w:hAnsi="仿宋" w:eastAsia="仿宋_GB2312" w:cs="仿宋_GB2312"/>
          <w:color w:val="auto"/>
          <w:sz w:val="24"/>
          <w:szCs w:val="21"/>
          <w:highlight w:val="none"/>
        </w:rPr>
      </w:pPr>
    </w:p>
    <w:p w14:paraId="074E7B99">
      <w:pPr>
        <w:rPr>
          <w:rFonts w:ascii="仿宋_GB2312" w:hAnsi="仿宋" w:eastAsia="仿宋_GB2312" w:cs="仿宋_GB2312"/>
          <w:color w:val="auto"/>
          <w:sz w:val="24"/>
          <w:szCs w:val="21"/>
          <w:highlight w:val="none"/>
        </w:rPr>
      </w:pPr>
    </w:p>
    <w:tbl>
      <w:tblPr>
        <w:tblStyle w:val="2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6E3E6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4211810F">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（※法定代表人（或非法人组织负责人）身份证正、反面复印件※）</w:t>
            </w:r>
          </w:p>
        </w:tc>
      </w:tr>
    </w:tbl>
    <w:p w14:paraId="062DEDD4">
      <w:pPr>
        <w:rPr>
          <w:rFonts w:ascii="仿宋_GB2312" w:hAnsi="仿宋" w:eastAsia="仿宋_GB2312" w:cs="仿宋_GB2312"/>
          <w:color w:val="auto"/>
          <w:sz w:val="24"/>
          <w:szCs w:val="21"/>
          <w:highlight w:val="none"/>
        </w:rPr>
      </w:pPr>
    </w:p>
    <w:p w14:paraId="0E4AEFD0">
      <w:pPr>
        <w:rPr>
          <w:rFonts w:ascii="仿宋_GB2312" w:hAnsi="仿宋" w:eastAsia="仿宋_GB2312" w:cs="仿宋_GB2312"/>
          <w:color w:val="auto"/>
          <w:sz w:val="24"/>
          <w:szCs w:val="21"/>
          <w:highlight w:val="none"/>
        </w:rPr>
      </w:pPr>
    </w:p>
    <w:p w14:paraId="218A7CC3">
      <w:pPr>
        <w:rPr>
          <w:rFonts w:ascii="仿宋_GB2312" w:hAnsi="仿宋" w:eastAsia="仿宋_GB2312" w:cs="仿宋_GB2312"/>
          <w:color w:val="auto"/>
          <w:sz w:val="24"/>
          <w:szCs w:val="21"/>
          <w:highlight w:val="none"/>
        </w:rPr>
      </w:pPr>
    </w:p>
    <w:p w14:paraId="1FD1314B">
      <w:pPr>
        <w:rPr>
          <w:rFonts w:ascii="仿宋_GB2312" w:hAnsi="仿宋" w:eastAsia="仿宋_GB2312" w:cs="仿宋_GB2312"/>
          <w:color w:val="auto"/>
          <w:sz w:val="24"/>
          <w:szCs w:val="21"/>
          <w:highlight w:val="none"/>
        </w:rPr>
      </w:pPr>
    </w:p>
    <w:p w14:paraId="79D8AE83">
      <w:pPr>
        <w:rPr>
          <w:rFonts w:ascii="仿宋_GB2312" w:hAnsi="仿宋" w:eastAsia="仿宋_GB2312" w:cs="仿宋_GB2312"/>
          <w:color w:val="auto"/>
          <w:sz w:val="24"/>
          <w:szCs w:val="21"/>
          <w:highlight w:val="none"/>
        </w:rPr>
      </w:pPr>
    </w:p>
    <w:p w14:paraId="7648764E">
      <w:pPr>
        <w:rPr>
          <w:rFonts w:ascii="仿宋_GB2312" w:hAnsi="仿宋" w:eastAsia="仿宋_GB2312" w:cs="仿宋_GB2312"/>
          <w:color w:val="auto"/>
          <w:sz w:val="24"/>
          <w:szCs w:val="21"/>
          <w:highlight w:val="none"/>
        </w:rPr>
      </w:pPr>
    </w:p>
    <w:p w14:paraId="32D65EA2">
      <w:pPr>
        <w:spacing w:line="480" w:lineRule="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投标人名称（加盖单位公章）：</w:t>
      </w:r>
      <w:r>
        <w:rPr>
          <w:rFonts w:hint="eastAsia" w:ascii="仿宋_GB2312" w:hAnsi="仿宋" w:eastAsia="仿宋_GB2312" w:cs="仿宋_GB2312"/>
          <w:color w:val="auto"/>
          <w:sz w:val="24"/>
          <w:szCs w:val="21"/>
          <w:highlight w:val="none"/>
          <w:u w:val="single"/>
        </w:rPr>
        <w:t xml:space="preserve">           </w:t>
      </w:r>
    </w:p>
    <w:p w14:paraId="4939C382">
      <w:pPr>
        <w:spacing w:line="48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日      期：</w:t>
      </w:r>
      <w:r>
        <w:rPr>
          <w:rFonts w:hint="eastAsia" w:ascii="仿宋_GB2312" w:hAnsi="仿宋" w:eastAsia="仿宋_GB2312" w:cs="仿宋_GB2312"/>
          <w:color w:val="auto"/>
          <w:sz w:val="24"/>
          <w:szCs w:val="21"/>
          <w:highlight w:val="none"/>
          <w:u w:val="single"/>
        </w:rPr>
        <w:t xml:space="preserve">               </w:t>
      </w:r>
    </w:p>
    <w:p w14:paraId="7A18BD64">
      <w:pPr>
        <w:rPr>
          <w:rFonts w:ascii="仿宋_GB2312" w:hAnsi="仿宋" w:eastAsia="仿宋_GB2312" w:cs="仿宋_GB2312"/>
          <w:color w:val="auto"/>
          <w:szCs w:val="21"/>
          <w:highlight w:val="none"/>
        </w:rPr>
      </w:pPr>
    </w:p>
    <w:p w14:paraId="27AF6DD2">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1"/>
          <w:highlight w:val="none"/>
        </w:rPr>
        <w:br w:type="page"/>
      </w:r>
      <w:r>
        <w:rPr>
          <w:rFonts w:hint="eastAsia" w:ascii="仿宋_GB2312" w:hAnsi="仿宋" w:eastAsia="仿宋_GB2312" w:cs="仿宋_GB2312"/>
          <w:color w:val="auto"/>
          <w:szCs w:val="28"/>
          <w:highlight w:val="none"/>
        </w:rPr>
        <w:t>格式5</w:t>
      </w:r>
      <w:bookmarkStart w:id="103" w:name="_Toc122_WPSOffice_Level2"/>
      <w:bookmarkStart w:id="104" w:name="_Toc21833_WPSOffice_Level2"/>
    </w:p>
    <w:p w14:paraId="001E7A50">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法定代表人（或非法人组织负责人）授权委托书</w:t>
      </w:r>
      <w:bookmarkEnd w:id="103"/>
      <w:bookmarkEnd w:id="104"/>
    </w:p>
    <w:p w14:paraId="00F62CAA">
      <w:pPr>
        <w:spacing w:line="360" w:lineRule="auto"/>
        <w:ind w:firstLine="480" w:firstLineChars="200"/>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单位名称：</w:t>
      </w:r>
      <w:r>
        <w:rPr>
          <w:rFonts w:hint="eastAsia" w:ascii="仿宋_GB2312" w:hAnsi="仿宋" w:eastAsia="仿宋_GB2312" w:cs="仿宋_GB2312"/>
          <w:color w:val="auto"/>
          <w:sz w:val="24"/>
          <w:szCs w:val="21"/>
          <w:highlight w:val="none"/>
          <w:u w:val="single"/>
        </w:rPr>
        <w:t xml:space="preserve">    </w:t>
      </w:r>
      <w:r>
        <w:rPr>
          <w:rFonts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u w:val="single"/>
        </w:rPr>
        <w:t xml:space="preserve">            </w:t>
      </w:r>
    </w:p>
    <w:p w14:paraId="0A1F0C4F">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法定代表人（或非法人组织负责人）姓名：</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 xml:space="preserve"> </w:t>
      </w:r>
    </w:p>
    <w:p w14:paraId="4612FB78">
      <w:pPr>
        <w:spacing w:line="360" w:lineRule="auto"/>
        <w:ind w:firstLine="480" w:firstLineChars="200"/>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身份证号码：</w:t>
      </w:r>
      <w:r>
        <w:rPr>
          <w:rFonts w:hint="eastAsia" w:ascii="仿宋_GB2312" w:hAnsi="仿宋" w:eastAsia="仿宋_GB2312" w:cs="仿宋_GB2312"/>
          <w:color w:val="auto"/>
          <w:sz w:val="24"/>
          <w:szCs w:val="21"/>
          <w:highlight w:val="none"/>
          <w:u w:val="single"/>
        </w:rPr>
        <w:t xml:space="preserve">     </w:t>
      </w:r>
      <w:r>
        <w:rPr>
          <w:rFonts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u w:val="single"/>
        </w:rPr>
        <w:t xml:space="preserve">    </w:t>
      </w:r>
    </w:p>
    <w:p w14:paraId="10A06B0B">
      <w:pPr>
        <w:tabs>
          <w:tab w:val="left" w:pos="5205"/>
        </w:tabs>
        <w:spacing w:line="360" w:lineRule="auto"/>
        <w:ind w:firstLine="480" w:firstLineChars="200"/>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住所地：</w:t>
      </w:r>
      <w:r>
        <w:rPr>
          <w:rFonts w:hint="eastAsia" w:ascii="仿宋_GB2312" w:hAnsi="仿宋" w:eastAsia="仿宋_GB2312" w:cs="仿宋_GB2312"/>
          <w:color w:val="auto"/>
          <w:sz w:val="24"/>
          <w:szCs w:val="21"/>
          <w:highlight w:val="none"/>
          <w:u w:val="single"/>
        </w:rPr>
        <w:t xml:space="preserve">         </w:t>
      </w:r>
      <w:r>
        <w:rPr>
          <w:rFonts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u w:val="single"/>
        </w:rPr>
        <w:t xml:space="preserve">          </w:t>
      </w:r>
    </w:p>
    <w:p w14:paraId="6CC07A9B">
      <w:pPr>
        <w:tabs>
          <w:tab w:val="left" w:pos="5205"/>
        </w:tabs>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人姓名：</w:t>
      </w:r>
      <w:r>
        <w:rPr>
          <w:rFonts w:hint="eastAsia" w:ascii="仿宋_GB2312" w:hAnsi="仿宋" w:eastAsia="仿宋_GB2312" w:cs="仿宋_GB2312"/>
          <w:color w:val="auto"/>
          <w:sz w:val="24"/>
          <w:szCs w:val="21"/>
          <w:highlight w:val="none"/>
          <w:u w:val="single"/>
        </w:rPr>
        <w:t xml:space="preserve">                </w:t>
      </w:r>
    </w:p>
    <w:p w14:paraId="249009C9">
      <w:pPr>
        <w:spacing w:line="360" w:lineRule="auto"/>
        <w:ind w:firstLine="480" w:firstLineChars="200"/>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身份证号码：</w:t>
      </w:r>
      <w:r>
        <w:rPr>
          <w:rFonts w:hint="eastAsia" w:ascii="仿宋_GB2312" w:hAnsi="仿宋" w:eastAsia="仿宋_GB2312" w:cs="仿宋_GB2312"/>
          <w:color w:val="auto"/>
          <w:sz w:val="24"/>
          <w:szCs w:val="21"/>
          <w:highlight w:val="none"/>
          <w:u w:val="single"/>
        </w:rPr>
        <w:t xml:space="preserve">       </w:t>
      </w:r>
      <w:r>
        <w:rPr>
          <w:rFonts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u w:val="single"/>
        </w:rPr>
        <w:t xml:space="preserve">  </w:t>
      </w:r>
    </w:p>
    <w:p w14:paraId="2CC06062">
      <w:pPr>
        <w:spacing w:line="360" w:lineRule="auto"/>
        <w:ind w:firstLine="480" w:firstLineChars="200"/>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工作单位：</w:t>
      </w:r>
      <w:r>
        <w:rPr>
          <w:rFonts w:hint="eastAsia" w:ascii="仿宋_GB2312" w:hAnsi="仿宋" w:eastAsia="仿宋_GB2312" w:cs="仿宋_GB2312"/>
          <w:color w:val="auto"/>
          <w:sz w:val="24"/>
          <w:szCs w:val="21"/>
          <w:highlight w:val="none"/>
          <w:u w:val="single"/>
        </w:rPr>
        <w:t xml:space="preserve">      </w:t>
      </w:r>
      <w:r>
        <w:rPr>
          <w:rFonts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u w:val="single"/>
        </w:rPr>
        <w:t xml:space="preserve">       </w:t>
      </w:r>
    </w:p>
    <w:p w14:paraId="3F9ABA76">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住址：</w:t>
      </w:r>
      <w:r>
        <w:rPr>
          <w:rFonts w:hint="eastAsia" w:ascii="仿宋_GB2312" w:hAnsi="仿宋" w:eastAsia="仿宋_GB2312" w:cs="仿宋_GB2312"/>
          <w:color w:val="auto"/>
          <w:sz w:val="24"/>
          <w:szCs w:val="21"/>
          <w:highlight w:val="none"/>
          <w:u w:val="single"/>
        </w:rPr>
        <w:t xml:space="preserve">          </w:t>
      </w:r>
      <w:r>
        <w:rPr>
          <w:rFonts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u w:val="single"/>
        </w:rPr>
        <w:t xml:space="preserve">           </w:t>
      </w:r>
    </w:p>
    <w:p w14:paraId="406ACECA">
      <w:pPr>
        <w:spacing w:line="360" w:lineRule="auto"/>
        <w:ind w:firstLine="480" w:firstLineChars="200"/>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电话：</w:t>
      </w:r>
      <w:r>
        <w:rPr>
          <w:rFonts w:hint="eastAsia" w:ascii="仿宋_GB2312" w:hAnsi="仿宋" w:eastAsia="仿宋_GB2312" w:cs="仿宋_GB2312"/>
          <w:color w:val="auto"/>
          <w:sz w:val="24"/>
          <w:szCs w:val="21"/>
          <w:highlight w:val="none"/>
          <w:u w:val="single"/>
        </w:rPr>
        <w:t xml:space="preserve">            </w:t>
      </w:r>
      <w:r>
        <w:rPr>
          <w:rFonts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u w:val="single"/>
        </w:rPr>
        <w:t xml:space="preserve">   </w:t>
      </w:r>
    </w:p>
    <w:p w14:paraId="1C33BFB1">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现委托</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就</w:t>
      </w:r>
      <w:r>
        <w:rPr>
          <w:rFonts w:hint="eastAsia" w:ascii="仿宋_GB2312" w:hAnsi="仿宋" w:eastAsia="仿宋_GB2312" w:cs="仿宋_GB2312"/>
          <w:color w:val="auto"/>
          <w:sz w:val="24"/>
          <w:szCs w:val="21"/>
          <w:highlight w:val="none"/>
          <w:u w:val="single"/>
        </w:rPr>
        <w:t>（项目编号、项目名称、包号）</w:t>
      </w:r>
      <w:r>
        <w:rPr>
          <w:rFonts w:hint="eastAsia" w:ascii="仿宋_GB2312" w:hAnsi="仿宋" w:eastAsia="仿宋_GB2312" w:cs="仿宋_GB2312"/>
          <w:color w:val="auto"/>
          <w:sz w:val="24"/>
          <w:szCs w:val="21"/>
          <w:highlight w:val="none"/>
        </w:rPr>
        <w:t>投标中，以我单位名义处理一切与之有关的事务。</w:t>
      </w:r>
    </w:p>
    <w:p w14:paraId="26082967">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本授权书于</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年</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月</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日签字或盖章生效，无转委托，特此声明。</w:t>
      </w:r>
    </w:p>
    <w:tbl>
      <w:tblPr>
        <w:tblStyle w:val="25"/>
        <w:tblW w:w="8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8"/>
      </w:tblGrid>
      <w:tr w14:paraId="16874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atLeast"/>
          <w:jc w:val="center"/>
        </w:trPr>
        <w:tc>
          <w:tcPr>
            <w:tcW w:w="8228" w:type="dxa"/>
          </w:tcPr>
          <w:p w14:paraId="61FD30F2">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人身份证正、反面复印件※）</w:t>
            </w:r>
          </w:p>
        </w:tc>
      </w:tr>
    </w:tbl>
    <w:p w14:paraId="6D656546">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委  托  人（加盖单位公章）：</w:t>
      </w:r>
      <w:r>
        <w:rPr>
          <w:rFonts w:hint="eastAsia" w:ascii="仿宋_GB2312" w:hAnsi="仿宋" w:eastAsia="仿宋_GB2312" w:cs="仿宋_GB2312"/>
          <w:color w:val="auto"/>
          <w:sz w:val="24"/>
          <w:szCs w:val="21"/>
          <w:highlight w:val="none"/>
          <w:u w:val="single"/>
        </w:rPr>
        <w:t xml:space="preserve">            </w:t>
      </w:r>
    </w:p>
    <w:p w14:paraId="39374EB3">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法定代表人（或非法人组织负责人）（签字或盖章）：</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 xml:space="preserve"> </w:t>
      </w:r>
    </w:p>
    <w:p w14:paraId="131C661B">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人（签字或盖章）：</w:t>
      </w:r>
      <w:r>
        <w:rPr>
          <w:rFonts w:hint="eastAsia" w:ascii="仿宋_GB2312" w:hAnsi="仿宋" w:eastAsia="仿宋_GB2312" w:cs="仿宋_GB2312"/>
          <w:color w:val="auto"/>
          <w:sz w:val="24"/>
          <w:szCs w:val="21"/>
          <w:highlight w:val="none"/>
          <w:u w:val="single"/>
        </w:rPr>
        <w:t xml:space="preserve">              </w:t>
      </w:r>
    </w:p>
    <w:p w14:paraId="397632E5">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详细通讯地址：</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 xml:space="preserve">      邮政编码 ：</w:t>
      </w:r>
      <w:r>
        <w:rPr>
          <w:rFonts w:hint="eastAsia" w:ascii="仿宋_GB2312" w:hAnsi="仿宋" w:eastAsia="仿宋_GB2312" w:cs="仿宋_GB2312"/>
          <w:color w:val="auto"/>
          <w:sz w:val="24"/>
          <w:szCs w:val="21"/>
          <w:highlight w:val="none"/>
          <w:u w:val="single"/>
        </w:rPr>
        <w:t xml:space="preserve">              </w:t>
      </w:r>
    </w:p>
    <w:p w14:paraId="64E648E6">
      <w:pPr>
        <w:spacing w:line="360" w:lineRule="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传        真：</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 xml:space="preserve">      电     话：</w:t>
      </w:r>
      <w:r>
        <w:rPr>
          <w:rFonts w:hint="eastAsia" w:ascii="仿宋_GB2312" w:hAnsi="仿宋" w:eastAsia="仿宋_GB2312" w:cs="仿宋_GB2312"/>
          <w:color w:val="auto"/>
          <w:sz w:val="24"/>
          <w:szCs w:val="21"/>
          <w:highlight w:val="none"/>
          <w:u w:val="single"/>
        </w:rPr>
        <w:t xml:space="preserve">              </w:t>
      </w:r>
    </w:p>
    <w:p w14:paraId="32F90D63">
      <w:pPr>
        <w:spacing w:line="360" w:lineRule="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日        期:</w:t>
      </w:r>
      <w:r>
        <w:rPr>
          <w:rFonts w:hint="eastAsia" w:ascii="仿宋_GB2312" w:hAnsi="仿宋" w:eastAsia="仿宋_GB2312" w:cs="仿宋_GB2312"/>
          <w:color w:val="auto"/>
          <w:sz w:val="24"/>
          <w:szCs w:val="21"/>
          <w:highlight w:val="none"/>
          <w:u w:val="single"/>
        </w:rPr>
        <w:t xml:space="preserve">                       </w:t>
      </w:r>
    </w:p>
    <w:p w14:paraId="799F1947">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br w:type="page"/>
      </w:r>
      <w:r>
        <w:rPr>
          <w:rFonts w:hint="eastAsia" w:ascii="仿宋_GB2312" w:hAnsi="仿宋" w:eastAsia="仿宋_GB2312" w:cs="仿宋_GB2312"/>
          <w:color w:val="auto"/>
          <w:szCs w:val="28"/>
          <w:highlight w:val="none"/>
        </w:rPr>
        <w:t>格式6</w:t>
      </w:r>
    </w:p>
    <w:p w14:paraId="53470B08">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具有良好的商业信誉和健全的财务会计制度的承诺函</w:t>
      </w:r>
    </w:p>
    <w:p w14:paraId="554C95B4">
      <w:pPr>
        <w:spacing w:before="319" w:beforeLines="100" w:after="319" w:afterLines="100" w:line="480" w:lineRule="exact"/>
        <w:ind w:right="630" w:rightChars="300"/>
        <w:jc w:val="center"/>
        <w:rPr>
          <w:rFonts w:ascii="仿宋_GB2312" w:hAnsi="仿宋" w:eastAsia="仿宋_GB2312" w:cs="仿宋_GB2312"/>
          <w:color w:val="auto"/>
          <w:sz w:val="28"/>
          <w:szCs w:val="28"/>
          <w:highlight w:val="none"/>
        </w:rPr>
      </w:pPr>
      <w:r>
        <w:rPr>
          <w:rFonts w:hint="eastAsia" w:ascii="仿宋_GB2312" w:hAnsi="仿宋" w:eastAsia="仿宋_GB2312" w:cs="仿宋_GB2312"/>
          <w:color w:val="auto"/>
          <w:sz w:val="28"/>
          <w:szCs w:val="28"/>
          <w:highlight w:val="none"/>
        </w:rPr>
        <w:t>（格式自拟）</w:t>
      </w:r>
    </w:p>
    <w:p w14:paraId="35955EAA">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2B1A26B3">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360D6F5F">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2C1541F9">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7A1070B9">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6F302E09">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09024441">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788D9472">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2FE8DE4E">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1D4BA9C7">
      <w:pPr>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283C5FC0">
      <w:pPr>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3DD6F767">
      <w:pPr>
        <w:adjustRightInd w:val="0"/>
        <w:snapToGrid w:val="0"/>
        <w:spacing w:line="360" w:lineRule="auto"/>
        <w:ind w:right="105" w:rightChars="50"/>
        <w:jc w:val="left"/>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7DECB1E1">
      <w:pPr>
        <w:adjustRightInd w:val="0"/>
        <w:snapToGrid w:val="0"/>
        <w:spacing w:line="360" w:lineRule="auto"/>
        <w:ind w:right="105" w:rightChars="50"/>
        <w:jc w:val="left"/>
        <w:rPr>
          <w:rFonts w:ascii="仿宋_GB2312" w:hAnsi="仿宋" w:eastAsia="仿宋_GB2312" w:cs="仿宋_GB2312"/>
          <w:color w:val="auto"/>
          <w:sz w:val="24"/>
          <w:highlight w:val="none"/>
          <w:u w:val="single"/>
        </w:rPr>
      </w:pPr>
    </w:p>
    <w:p w14:paraId="1CFA4C55">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 w:val="36"/>
          <w:szCs w:val="28"/>
          <w:highlight w:val="none"/>
        </w:rPr>
        <w:br w:type="page"/>
      </w:r>
      <w:r>
        <w:rPr>
          <w:rFonts w:hint="eastAsia" w:ascii="仿宋_GB2312" w:hAnsi="仿宋" w:eastAsia="仿宋_GB2312" w:cs="仿宋_GB2312"/>
          <w:color w:val="auto"/>
          <w:szCs w:val="28"/>
          <w:highlight w:val="none"/>
        </w:rPr>
        <w:t>格式7</w:t>
      </w:r>
    </w:p>
    <w:p w14:paraId="15DEC1CE">
      <w:pPr>
        <w:spacing w:before="159" w:beforeLines="50" w:after="159" w:afterLines="50" w:line="360" w:lineRule="auto"/>
        <w:ind w:right="-21" w:rightChars="-10"/>
        <w:jc w:val="center"/>
        <w:rPr>
          <w:rFonts w:ascii="方正小标宋简体" w:hAnsi="仿宋" w:eastAsia="方正小标宋简体" w:cs="仿宋_GB2312"/>
          <w:bCs/>
          <w:color w:val="auto"/>
          <w:sz w:val="32"/>
          <w:szCs w:val="32"/>
          <w:highlight w:val="none"/>
        </w:rPr>
      </w:pPr>
      <w:bookmarkStart w:id="105" w:name="_Toc12037_WPSOffice_Level2"/>
      <w:bookmarkStart w:id="106" w:name="_Toc23728_WPSOffice_Level2"/>
      <w:r>
        <w:rPr>
          <w:rFonts w:hint="eastAsia" w:ascii="方正小标宋简体" w:hAnsi="仿宋" w:eastAsia="方正小标宋简体" w:cs="仿宋_GB2312"/>
          <w:bCs/>
          <w:color w:val="auto"/>
          <w:sz w:val="32"/>
          <w:szCs w:val="32"/>
          <w:highlight w:val="none"/>
        </w:rPr>
        <w:t>具备履行合同所必需的设备和专业技术能力声明函</w:t>
      </w:r>
      <w:bookmarkEnd w:id="105"/>
      <w:bookmarkEnd w:id="106"/>
    </w:p>
    <w:p w14:paraId="41D8D410">
      <w:pPr>
        <w:spacing w:before="319" w:beforeLines="100" w:after="319" w:afterLines="100" w:line="480" w:lineRule="exact"/>
        <w:ind w:right="630" w:rightChars="300"/>
        <w:jc w:val="center"/>
        <w:rPr>
          <w:rFonts w:ascii="仿宋_GB2312" w:hAnsi="仿宋" w:eastAsia="仿宋_GB2312" w:cs="仿宋_GB2312"/>
          <w:color w:val="auto"/>
          <w:sz w:val="28"/>
          <w:szCs w:val="28"/>
          <w:highlight w:val="none"/>
        </w:rPr>
      </w:pPr>
      <w:bookmarkStart w:id="107" w:name="_Toc28831_WPSOffice_Level2"/>
      <w:bookmarkStart w:id="108" w:name="_Toc1917_WPSOffice_Level2"/>
      <w:r>
        <w:rPr>
          <w:rFonts w:hint="eastAsia" w:ascii="仿宋_GB2312" w:hAnsi="仿宋" w:eastAsia="仿宋_GB2312" w:cs="仿宋_GB2312"/>
          <w:color w:val="auto"/>
          <w:sz w:val="28"/>
          <w:szCs w:val="28"/>
          <w:highlight w:val="none"/>
        </w:rPr>
        <w:t>（格式自拟）</w:t>
      </w:r>
      <w:bookmarkEnd w:id="107"/>
      <w:bookmarkEnd w:id="108"/>
    </w:p>
    <w:p w14:paraId="494EBF02">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13692FF4">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70F4330F">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4E3A5E8B">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268AA369">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2D901884">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5EE5F3D5">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045AAF47">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767A36B8">
      <w:pPr>
        <w:adjustRightInd w:val="0"/>
        <w:snapToGrid w:val="0"/>
        <w:spacing w:line="360" w:lineRule="auto"/>
        <w:ind w:right="105" w:rightChars="50" w:firstLine="476" w:firstLineChars="227"/>
        <w:jc w:val="left"/>
        <w:rPr>
          <w:rFonts w:ascii="仿宋_GB2312" w:hAnsi="仿宋" w:eastAsia="仿宋_GB2312" w:cs="仿宋_GB2312"/>
          <w:color w:val="auto"/>
          <w:szCs w:val="21"/>
          <w:highlight w:val="none"/>
        </w:rPr>
      </w:pPr>
    </w:p>
    <w:p w14:paraId="3C8F89D1">
      <w:pPr>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4250F9D3">
      <w:pPr>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11E3805F">
      <w:pPr>
        <w:adjustRightInd w:val="0"/>
        <w:snapToGrid w:val="0"/>
        <w:spacing w:line="360" w:lineRule="auto"/>
        <w:ind w:right="105" w:rightChars="50"/>
        <w:jc w:val="left"/>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2186DFFB">
      <w:pPr>
        <w:adjustRightInd w:val="0"/>
        <w:snapToGrid w:val="0"/>
        <w:spacing w:line="360" w:lineRule="auto"/>
        <w:ind w:right="105" w:rightChars="50"/>
        <w:jc w:val="left"/>
        <w:rPr>
          <w:rFonts w:ascii="仿宋_GB2312" w:hAnsi="仿宋" w:eastAsia="仿宋_GB2312" w:cs="仿宋_GB2312"/>
          <w:color w:val="auto"/>
          <w:highlight w:val="none"/>
          <w:u w:val="single"/>
        </w:rPr>
      </w:pPr>
    </w:p>
    <w:p w14:paraId="33FC510D">
      <w:pPr>
        <w:adjustRightInd w:val="0"/>
        <w:snapToGrid w:val="0"/>
        <w:spacing w:line="360" w:lineRule="auto"/>
        <w:ind w:right="105" w:rightChars="50"/>
        <w:jc w:val="left"/>
        <w:rPr>
          <w:rFonts w:ascii="仿宋_GB2312" w:hAnsi="仿宋" w:eastAsia="仿宋_GB2312" w:cs="仿宋_GB2312"/>
          <w:b/>
          <w:color w:val="auto"/>
          <w:sz w:val="28"/>
          <w:szCs w:val="28"/>
          <w:highlight w:val="none"/>
        </w:rPr>
      </w:pPr>
    </w:p>
    <w:p w14:paraId="3AA9E4C1">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br w:type="page"/>
      </w:r>
      <w:r>
        <w:rPr>
          <w:rFonts w:hint="eastAsia" w:ascii="仿宋_GB2312" w:hAnsi="仿宋" w:eastAsia="仿宋_GB2312" w:cs="仿宋_GB2312"/>
          <w:color w:val="auto"/>
          <w:szCs w:val="28"/>
          <w:highlight w:val="none"/>
        </w:rPr>
        <w:t>格式8</w:t>
      </w:r>
    </w:p>
    <w:p w14:paraId="24C3E2CB">
      <w:pPr>
        <w:spacing w:before="159" w:beforeLines="50" w:after="159" w:afterLines="50" w:line="360" w:lineRule="auto"/>
        <w:ind w:right="-21" w:rightChars="-10"/>
        <w:jc w:val="center"/>
        <w:rPr>
          <w:rFonts w:ascii="方正小标宋简体" w:hAnsi="仿宋" w:eastAsia="方正小标宋简体" w:cs="仿宋_GB2312"/>
          <w:bCs/>
          <w:color w:val="auto"/>
          <w:sz w:val="32"/>
          <w:szCs w:val="32"/>
          <w:highlight w:val="none"/>
        </w:rPr>
      </w:pPr>
      <w:r>
        <w:rPr>
          <w:rFonts w:hint="eastAsia" w:ascii="方正小标宋简体" w:hAnsi="仿宋" w:eastAsia="方正小标宋简体" w:cs="仿宋_GB2312"/>
          <w:bCs/>
          <w:color w:val="auto"/>
          <w:sz w:val="32"/>
          <w:szCs w:val="32"/>
          <w:highlight w:val="none"/>
        </w:rPr>
        <w:t xml:space="preserve">   </w:t>
      </w:r>
      <w:bookmarkStart w:id="109" w:name="_Toc11967_WPSOffice_Level2"/>
      <w:bookmarkStart w:id="110" w:name="_Toc7498_WPSOffice_Level2"/>
      <w:r>
        <w:rPr>
          <w:rFonts w:hint="eastAsia" w:ascii="方正小标宋简体" w:hAnsi="仿宋_GB2312" w:eastAsia="方正小标宋简体" w:cs="仿宋_GB2312"/>
          <w:color w:val="auto"/>
          <w:sz w:val="32"/>
          <w:szCs w:val="32"/>
          <w:highlight w:val="none"/>
        </w:rPr>
        <w:t>参加政府采购活动前3年内在经营活动中没有重大违法记录的书面声明</w:t>
      </w:r>
      <w:bookmarkEnd w:id="109"/>
      <w:bookmarkEnd w:id="110"/>
    </w:p>
    <w:p w14:paraId="62752B05">
      <w:pPr>
        <w:spacing w:line="360" w:lineRule="auto"/>
        <w:ind w:right="630" w:rightChars="300"/>
        <w:rPr>
          <w:rFonts w:ascii="仿宋_GB2312" w:hAnsi="仿宋" w:eastAsia="仿宋_GB2312" w:cs="仿宋_GB2312"/>
          <w:b/>
          <w:color w:val="auto"/>
          <w:sz w:val="24"/>
          <w:szCs w:val="21"/>
          <w:highlight w:val="none"/>
        </w:rPr>
      </w:pPr>
      <w:r>
        <w:rPr>
          <w:rFonts w:hint="eastAsia" w:ascii="仿宋_GB2312" w:hAnsi="仿宋" w:eastAsia="仿宋_GB2312" w:cs="仿宋_GB2312"/>
          <w:b/>
          <w:color w:val="auto"/>
          <w:sz w:val="24"/>
          <w:szCs w:val="21"/>
          <w:highlight w:val="none"/>
          <w:u w:val="single"/>
        </w:rPr>
        <w:t>（采购人或采购组织机构名称）</w:t>
      </w:r>
      <w:r>
        <w:rPr>
          <w:rFonts w:hint="eastAsia" w:ascii="仿宋_GB2312" w:hAnsi="仿宋" w:eastAsia="仿宋_GB2312" w:cs="仿宋_GB2312"/>
          <w:b/>
          <w:color w:val="auto"/>
          <w:sz w:val="24"/>
          <w:szCs w:val="21"/>
          <w:highlight w:val="none"/>
        </w:rPr>
        <w:t>：</w:t>
      </w:r>
    </w:p>
    <w:p w14:paraId="5CD15DEE">
      <w:pPr>
        <w:spacing w:line="360" w:lineRule="auto"/>
        <w:ind w:right="-21" w:rightChars="-10" w:firstLine="564" w:firstLineChars="235"/>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w:t>
      </w:r>
      <w:r>
        <w:rPr>
          <w:rFonts w:hint="eastAsia" w:ascii="仿宋_GB2312" w:hAnsi="仿宋" w:eastAsia="仿宋_GB2312" w:cs="仿宋_GB2312"/>
          <w:color w:val="auto"/>
          <w:sz w:val="24"/>
          <w:szCs w:val="21"/>
          <w:highlight w:val="none"/>
          <w:lang w:val="en-US" w:eastAsia="zh-CN"/>
        </w:rPr>
        <w:t>重大</w:t>
      </w:r>
      <w:r>
        <w:rPr>
          <w:rFonts w:hint="eastAsia" w:ascii="仿宋_GB2312" w:hAnsi="仿宋" w:eastAsia="仿宋_GB2312" w:cs="仿宋_GB2312"/>
          <w:color w:val="auto"/>
          <w:sz w:val="24"/>
          <w:szCs w:val="21"/>
          <w:highlight w:val="none"/>
        </w:rPr>
        <w:t>税收违法</w:t>
      </w:r>
      <w:r>
        <w:rPr>
          <w:rFonts w:hint="eastAsia" w:ascii="仿宋_GB2312" w:hAnsi="仿宋" w:eastAsia="仿宋_GB2312" w:cs="仿宋_GB2312"/>
          <w:strike w:val="0"/>
          <w:dstrike w:val="0"/>
          <w:color w:val="auto"/>
          <w:sz w:val="24"/>
          <w:szCs w:val="21"/>
          <w:highlight w:val="none"/>
          <w:lang w:val="en-US" w:eastAsia="zh-CN"/>
        </w:rPr>
        <w:t>失信主体</w:t>
      </w:r>
      <w:r>
        <w:rPr>
          <w:rFonts w:hint="eastAsia" w:ascii="仿宋_GB2312" w:hAnsi="仿宋" w:eastAsia="仿宋_GB2312" w:cs="仿宋_GB2312"/>
          <w:color w:val="auto"/>
          <w:sz w:val="24"/>
          <w:szCs w:val="21"/>
          <w:highlight w:val="none"/>
        </w:rPr>
        <w:t>、政府采购严重违法失信行为记录名单。</w:t>
      </w:r>
    </w:p>
    <w:p w14:paraId="0E6D1865">
      <w:pPr>
        <w:tabs>
          <w:tab w:val="left" w:pos="10065"/>
        </w:tabs>
        <w:spacing w:line="360" w:lineRule="auto"/>
        <w:ind w:right="-21" w:rightChars="-10" w:firstLine="424" w:firstLineChars="177"/>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如发现我单位提供的声明函不实时，我单位将按照《政府采购法》有关提供虚假材料的规定，接受处罚。</w:t>
      </w:r>
    </w:p>
    <w:p w14:paraId="419F0D23">
      <w:pPr>
        <w:spacing w:line="360" w:lineRule="auto"/>
        <w:ind w:right="1050" w:rightChars="500"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特此声明。</w:t>
      </w:r>
    </w:p>
    <w:p w14:paraId="1EF97D85">
      <w:pPr>
        <w:spacing w:line="500" w:lineRule="exact"/>
        <w:ind w:right="1050" w:rightChars="500"/>
        <w:rPr>
          <w:rFonts w:ascii="仿宋_GB2312" w:hAnsi="仿宋" w:eastAsia="仿宋_GB2312" w:cs="仿宋_GB2312"/>
          <w:color w:val="auto"/>
          <w:sz w:val="24"/>
          <w:szCs w:val="21"/>
          <w:highlight w:val="none"/>
        </w:rPr>
      </w:pPr>
    </w:p>
    <w:p w14:paraId="64A71355">
      <w:pPr>
        <w:pStyle w:val="7"/>
        <w:rPr>
          <w:rFonts w:ascii="仿宋_GB2312" w:hAnsi="仿宋" w:eastAsia="仿宋_GB2312" w:cs="仿宋_GB2312"/>
          <w:color w:val="auto"/>
          <w:sz w:val="24"/>
          <w:szCs w:val="21"/>
          <w:highlight w:val="none"/>
        </w:rPr>
      </w:pPr>
    </w:p>
    <w:p w14:paraId="2186F1CB">
      <w:pPr>
        <w:pStyle w:val="7"/>
        <w:rPr>
          <w:rFonts w:ascii="仿宋_GB2312" w:hAnsi="仿宋" w:eastAsia="仿宋_GB2312" w:cs="仿宋_GB2312"/>
          <w:color w:val="auto"/>
          <w:sz w:val="24"/>
          <w:szCs w:val="21"/>
          <w:highlight w:val="none"/>
        </w:rPr>
      </w:pPr>
    </w:p>
    <w:p w14:paraId="2DEB1DE4">
      <w:pPr>
        <w:spacing w:before="159" w:beforeLines="50" w:after="159" w:afterLines="50" w:line="400" w:lineRule="exact"/>
        <w:ind w:right="1050" w:rightChars="500"/>
        <w:rPr>
          <w:rFonts w:ascii="仿宋_GB2312" w:hAnsi="仿宋" w:eastAsia="仿宋_GB2312" w:cs="仿宋_GB2312"/>
          <w:color w:val="auto"/>
          <w:sz w:val="24"/>
          <w:szCs w:val="21"/>
          <w:highlight w:val="none"/>
        </w:rPr>
      </w:pPr>
    </w:p>
    <w:p w14:paraId="6929B6FB">
      <w:pPr>
        <w:spacing w:line="360" w:lineRule="exact"/>
        <w:ind w:right="1050" w:rightChars="500"/>
        <w:rPr>
          <w:rFonts w:ascii="仿宋_GB2312" w:hAnsi="仿宋" w:eastAsia="仿宋_GB2312" w:cs="仿宋_GB2312"/>
          <w:color w:val="auto"/>
          <w:sz w:val="24"/>
          <w:szCs w:val="21"/>
          <w:highlight w:val="none"/>
        </w:rPr>
      </w:pPr>
    </w:p>
    <w:p w14:paraId="752E4752">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706301D0">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06EEC63E">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63D3BCE4">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 w:val="36"/>
          <w:szCs w:val="21"/>
          <w:highlight w:val="none"/>
        </w:rPr>
        <w:br w:type="page"/>
      </w:r>
      <w:r>
        <w:rPr>
          <w:rFonts w:hint="eastAsia" w:ascii="仿宋_GB2312" w:hAnsi="仿宋" w:eastAsia="仿宋_GB2312" w:cs="仿宋_GB2312"/>
          <w:color w:val="auto"/>
          <w:szCs w:val="28"/>
          <w:highlight w:val="none"/>
        </w:rPr>
        <w:t>格式9</w:t>
      </w:r>
    </w:p>
    <w:p w14:paraId="040D8FB4">
      <w:pPr>
        <w:spacing w:before="159" w:beforeLines="50" w:after="159" w:afterLines="50" w:line="360" w:lineRule="auto"/>
        <w:ind w:right="-21" w:rightChars="-10"/>
        <w:jc w:val="center"/>
        <w:rPr>
          <w:rFonts w:ascii="方正小标宋简体" w:hAnsi="仿宋" w:eastAsia="方正小标宋简体" w:cs="仿宋_GB2312"/>
          <w:bCs/>
          <w:color w:val="auto"/>
          <w:sz w:val="32"/>
          <w:szCs w:val="32"/>
          <w:highlight w:val="none"/>
        </w:rPr>
      </w:pPr>
      <w:bookmarkStart w:id="111" w:name="_Toc16873_WPSOffice_Level2"/>
      <w:bookmarkStart w:id="112" w:name="_Toc30548_WPSOffice_Level2"/>
      <w:r>
        <w:rPr>
          <w:rFonts w:hint="eastAsia" w:ascii="方正小标宋简体" w:hAnsi="仿宋_GB2312" w:eastAsia="方正小标宋简体" w:cs="仿宋_GB2312"/>
          <w:color w:val="auto"/>
          <w:sz w:val="32"/>
          <w:szCs w:val="32"/>
          <w:highlight w:val="none"/>
        </w:rPr>
        <w:t>联合体协议书</w:t>
      </w:r>
      <w:bookmarkEnd w:id="111"/>
      <w:bookmarkEnd w:id="112"/>
      <w:r>
        <w:rPr>
          <w:rFonts w:hint="eastAsia" w:ascii="方正小标宋简体" w:hAnsi="仿宋_GB2312" w:eastAsia="方正小标宋简体" w:cs="仿宋_GB2312"/>
          <w:color w:val="auto"/>
          <w:sz w:val="32"/>
          <w:szCs w:val="32"/>
          <w:highlight w:val="none"/>
        </w:rPr>
        <w:t>（本项目不适用）</w:t>
      </w:r>
    </w:p>
    <w:p w14:paraId="0404FFBF">
      <w:pPr>
        <w:pStyle w:val="12"/>
        <w:spacing w:line="44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u w:val="single"/>
        </w:rPr>
        <w:t>(采购人或采购组织机构)</w:t>
      </w:r>
      <w:r>
        <w:rPr>
          <w:rFonts w:hint="eastAsia" w:ascii="仿宋_GB2312" w:hAnsi="仿宋" w:eastAsia="仿宋_GB2312" w:cs="仿宋_GB2312"/>
          <w:color w:val="auto"/>
          <w:sz w:val="24"/>
          <w:highlight w:val="none"/>
        </w:rPr>
        <w:t>：</w:t>
      </w:r>
    </w:p>
    <w:p w14:paraId="4A469E18">
      <w:pPr>
        <w:pStyle w:val="12"/>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经研究，我方决定自愿组成联合体共同参加</w:t>
      </w:r>
      <w:r>
        <w:rPr>
          <w:rFonts w:hint="eastAsia" w:ascii="仿宋_GB2312" w:hAnsi="仿宋" w:eastAsia="仿宋_GB2312" w:cs="仿宋_GB2312"/>
          <w:color w:val="auto"/>
          <w:sz w:val="24"/>
          <w:highlight w:val="none"/>
          <w:u w:val="single"/>
        </w:rPr>
        <w:t>(项目名称、项目编号、包号)</w:t>
      </w:r>
      <w:r>
        <w:rPr>
          <w:rFonts w:hint="eastAsia" w:ascii="仿宋_GB2312" w:hAnsi="仿宋" w:eastAsia="仿宋_GB2312" w:cs="仿宋_GB2312"/>
          <w:color w:val="auto"/>
          <w:sz w:val="24"/>
          <w:highlight w:val="none"/>
        </w:rPr>
        <w:t>项目的投标。现就联合体投标事宜订立如下协议：</w:t>
      </w:r>
    </w:p>
    <w:p w14:paraId="672AF477">
      <w:pPr>
        <w:pStyle w:val="12"/>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一、联合体成员：</w:t>
      </w:r>
    </w:p>
    <w:p w14:paraId="183CB904">
      <w:pPr>
        <w:pStyle w:val="12"/>
        <w:spacing w:line="440" w:lineRule="exact"/>
        <w:ind w:firstLine="480" w:firstLineChars="200"/>
        <w:rPr>
          <w:rFonts w:ascii="仿宋_GB2312" w:hAnsi="仿宋" w:eastAsia="仿宋_GB2312" w:cs="仿宋_GB2312"/>
          <w:color w:val="auto"/>
          <w:sz w:val="24"/>
          <w:highlight w:val="none"/>
          <w:u w:val="single"/>
        </w:rPr>
      </w:pPr>
      <w:bookmarkStart w:id="113" w:name="_Toc23749_WPSOffice_Level2"/>
      <w:bookmarkStart w:id="114" w:name="_Toc15561_WPSOffice_Level2"/>
      <w:r>
        <w:rPr>
          <w:rFonts w:hint="eastAsia" w:ascii="仿宋_GB2312" w:hAnsi="仿宋" w:eastAsia="仿宋_GB2312" w:cs="仿宋_GB2312"/>
          <w:color w:val="auto"/>
          <w:sz w:val="24"/>
          <w:highlight w:val="none"/>
        </w:rPr>
        <w:t>1.</w:t>
      </w:r>
      <w:bookmarkEnd w:id="113"/>
      <w:bookmarkEnd w:id="114"/>
      <w:r>
        <w:rPr>
          <w:rFonts w:hint="eastAsia" w:ascii="仿宋_GB2312" w:hAnsi="仿宋" w:eastAsia="仿宋_GB2312" w:cs="仿宋_GB2312"/>
          <w:color w:val="auto"/>
          <w:sz w:val="24"/>
          <w:highlight w:val="none"/>
          <w:u w:val="single"/>
        </w:rPr>
        <w:t xml:space="preserve">                  </w:t>
      </w:r>
    </w:p>
    <w:p w14:paraId="4A4CCE58">
      <w:pPr>
        <w:pStyle w:val="12"/>
        <w:spacing w:line="440" w:lineRule="exact"/>
        <w:ind w:firstLine="480" w:firstLineChars="200"/>
        <w:rPr>
          <w:rFonts w:ascii="仿宋_GB2312" w:hAnsi="仿宋" w:eastAsia="仿宋_GB2312" w:cs="仿宋_GB2312"/>
          <w:color w:val="auto"/>
          <w:sz w:val="24"/>
          <w:highlight w:val="none"/>
          <w:u w:val="single"/>
        </w:rPr>
      </w:pPr>
      <w:bookmarkStart w:id="115" w:name="_Toc22173_WPSOffice_Level2"/>
      <w:bookmarkStart w:id="116" w:name="_Toc405_WPSOffice_Level2"/>
      <w:r>
        <w:rPr>
          <w:rFonts w:hint="eastAsia" w:ascii="仿宋_GB2312" w:hAnsi="仿宋" w:eastAsia="仿宋_GB2312" w:cs="仿宋_GB2312"/>
          <w:color w:val="auto"/>
          <w:sz w:val="24"/>
          <w:highlight w:val="none"/>
        </w:rPr>
        <w:t>2.</w:t>
      </w:r>
      <w:bookmarkEnd w:id="115"/>
      <w:bookmarkEnd w:id="116"/>
      <w:r>
        <w:rPr>
          <w:rFonts w:hint="eastAsia" w:ascii="仿宋_GB2312" w:hAnsi="仿宋" w:eastAsia="仿宋_GB2312" w:cs="仿宋_GB2312"/>
          <w:color w:val="auto"/>
          <w:sz w:val="24"/>
          <w:highlight w:val="none"/>
          <w:u w:val="single"/>
        </w:rPr>
        <w:t xml:space="preserve">                  </w:t>
      </w:r>
    </w:p>
    <w:p w14:paraId="4B17B527">
      <w:pPr>
        <w:pStyle w:val="12"/>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p w14:paraId="4E41D471">
      <w:pPr>
        <w:pStyle w:val="12"/>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w:t>
      </w:r>
      <w:r>
        <w:rPr>
          <w:rFonts w:hint="eastAsia" w:ascii="仿宋_GB2312" w:hAnsi="仿宋" w:eastAsia="仿宋_GB2312" w:cs="仿宋_GB2312"/>
          <w:color w:val="auto"/>
          <w:sz w:val="24"/>
          <w:highlight w:val="none"/>
          <w:u w:val="single"/>
        </w:rPr>
        <w:t>(某成员单位名称)</w:t>
      </w:r>
      <w:r>
        <w:rPr>
          <w:rFonts w:hint="eastAsia" w:ascii="仿宋_GB2312" w:hAnsi="仿宋" w:eastAsia="仿宋_GB2312" w:cs="仿宋_GB2312"/>
          <w:color w:val="auto"/>
          <w:sz w:val="24"/>
          <w:highlight w:val="none"/>
        </w:rPr>
        <w:t>为(联合体名称)牵头人。</w:t>
      </w:r>
    </w:p>
    <w:p w14:paraId="3909E162">
      <w:pPr>
        <w:pStyle w:val="12"/>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14:paraId="5BAB8188">
      <w:pPr>
        <w:pStyle w:val="12"/>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四、联合体将严格按照招标文件的各项要求，递交投标文件，参加投标，履行中标义务和中标后的合同，并向采购人承担连带责任。</w:t>
      </w:r>
    </w:p>
    <w:p w14:paraId="5805E74E">
      <w:pPr>
        <w:adjustRightInd w:val="0"/>
        <w:snapToGrid w:val="0"/>
        <w:spacing w:line="440" w:lineRule="exact"/>
        <w:ind w:firstLine="480" w:firstLineChars="200"/>
        <w:rPr>
          <w:rFonts w:ascii="仿宋_GB2312" w:hAnsi="仿宋" w:eastAsia="仿宋_GB2312"/>
          <w:color w:val="auto"/>
          <w:sz w:val="24"/>
          <w:highlight w:val="none"/>
        </w:rPr>
      </w:pPr>
      <w:r>
        <w:rPr>
          <w:rFonts w:hint="eastAsia" w:ascii="仿宋_GB2312" w:hAnsi="仿宋" w:eastAsia="仿宋_GB2312"/>
          <w:color w:val="auto"/>
          <w:sz w:val="24"/>
          <w:highlight w:val="none"/>
        </w:rPr>
        <w:t>五、联合体各成员单位内部的职责分工如下：</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。按照本条上述分工，联合体成员单位各自所承担的合同工作量比例如下：</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。大中型企业、其他自然人、法人或者非法人组织与小型、微型企业组成联合体共同参加投标的，小型、微型企业的协议合同金额占到共同投标协议投标总金额的比例如下：</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p>
    <w:p w14:paraId="555BD0A1">
      <w:pPr>
        <w:pStyle w:val="12"/>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六、本协议书自签署之日起生效，合同履行完毕后自动失效。</w:t>
      </w:r>
    </w:p>
    <w:p w14:paraId="57B022D5">
      <w:pPr>
        <w:pStyle w:val="12"/>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七、本协议书一式</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份，联合体成员和采购人各执</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份。</w:t>
      </w:r>
    </w:p>
    <w:p w14:paraId="491FFA3C">
      <w:pPr>
        <w:pStyle w:val="12"/>
        <w:spacing w:line="440" w:lineRule="exact"/>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牵头人名称(加盖单位公章)：</w:t>
      </w:r>
      <w:r>
        <w:rPr>
          <w:rFonts w:hint="eastAsia" w:ascii="仿宋_GB2312" w:hAnsi="仿宋" w:eastAsia="仿宋_GB2312" w:cs="仿宋_GB2312"/>
          <w:color w:val="auto"/>
          <w:sz w:val="24"/>
          <w:highlight w:val="none"/>
          <w:u w:val="single"/>
        </w:rPr>
        <w:t xml:space="preserve">                       </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rPr>
        <w:t xml:space="preserve">     </w:t>
      </w:r>
    </w:p>
    <w:p w14:paraId="1A6CF3F8">
      <w:pPr>
        <w:pStyle w:val="12"/>
        <w:spacing w:line="44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法定代表人或其授权委托人(签字或盖章)：</w:t>
      </w:r>
      <w:r>
        <w:rPr>
          <w:rFonts w:hint="eastAsia" w:ascii="仿宋_GB2312" w:hAnsi="仿宋" w:eastAsia="仿宋_GB2312" w:cs="仿宋_GB2312"/>
          <w:color w:val="auto"/>
          <w:sz w:val="24"/>
          <w:highlight w:val="none"/>
          <w:u w:val="single"/>
        </w:rPr>
        <w:t xml:space="preserve">                  </w:t>
      </w:r>
    </w:p>
    <w:p w14:paraId="60439BAA">
      <w:pPr>
        <w:pStyle w:val="12"/>
        <w:spacing w:line="440" w:lineRule="exact"/>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成员名称(加盖单位公章)：</w:t>
      </w:r>
      <w:r>
        <w:rPr>
          <w:rFonts w:hint="eastAsia" w:ascii="仿宋_GB2312" w:hAnsi="仿宋" w:eastAsia="仿宋_GB2312" w:cs="仿宋_GB2312"/>
          <w:color w:val="auto"/>
          <w:sz w:val="24"/>
          <w:highlight w:val="none"/>
          <w:u w:val="single"/>
        </w:rPr>
        <w:t xml:space="preserve">                           </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rPr>
        <w:t xml:space="preserve">   </w:t>
      </w:r>
    </w:p>
    <w:p w14:paraId="3B4922F9">
      <w:pPr>
        <w:pStyle w:val="12"/>
        <w:spacing w:line="440" w:lineRule="exact"/>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法定代表人或其授权委托人(签字或盖章)：</w:t>
      </w:r>
      <w:r>
        <w:rPr>
          <w:rFonts w:hint="eastAsia" w:ascii="仿宋_GB2312" w:hAnsi="仿宋" w:eastAsia="仿宋_GB2312" w:cs="仿宋_GB2312"/>
          <w:color w:val="auto"/>
          <w:sz w:val="24"/>
          <w:highlight w:val="none"/>
          <w:u w:val="single"/>
        </w:rPr>
        <w:t xml:space="preserve">                  </w:t>
      </w:r>
    </w:p>
    <w:p w14:paraId="24AAD762">
      <w:pPr>
        <w:pStyle w:val="12"/>
        <w:spacing w:line="440" w:lineRule="exac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w:t>
      </w:r>
    </w:p>
    <w:p w14:paraId="6C38DB5F">
      <w:pPr>
        <w:spacing w:line="360" w:lineRule="exact"/>
        <w:ind w:right="1050" w:rightChars="500"/>
        <w:jc w:val="left"/>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szCs w:val="21"/>
          <w:highlight w:val="none"/>
        </w:rPr>
        <w:t xml:space="preserve">日 </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期：</w:t>
      </w:r>
      <w:r>
        <w:rPr>
          <w:rFonts w:hint="eastAsia" w:ascii="仿宋_GB2312" w:hAnsi="仿宋" w:eastAsia="仿宋_GB2312" w:cs="仿宋_GB2312"/>
          <w:color w:val="auto"/>
          <w:sz w:val="24"/>
          <w:highlight w:val="none"/>
          <w:u w:val="single"/>
        </w:rPr>
        <w:t xml:space="preserve">              </w:t>
      </w:r>
    </w:p>
    <w:p w14:paraId="1E842F76">
      <w:pPr>
        <w:pStyle w:val="3"/>
        <w:adjustRightInd w:val="0"/>
        <w:snapToGrid w:val="0"/>
        <w:spacing w:before="0" w:after="0" w:line="240" w:lineRule="auto"/>
        <w:jc w:val="left"/>
        <w:rPr>
          <w:rFonts w:ascii="仿宋_GB2312" w:hAnsi="仿宋" w:eastAsia="仿宋_GB2312" w:cs="仿宋_GB2312"/>
          <w:color w:val="auto"/>
          <w:szCs w:val="28"/>
          <w:highlight w:val="none"/>
        </w:rPr>
      </w:pPr>
      <w:r>
        <w:rPr>
          <w:color w:val="auto"/>
          <w:highlight w:val="none"/>
          <w:u w:val="single"/>
        </w:rPr>
        <w:br w:type="page"/>
      </w:r>
      <w:r>
        <w:rPr>
          <w:rFonts w:hint="eastAsia" w:ascii="仿宋_GB2312" w:hAnsi="仿宋" w:eastAsia="仿宋_GB2312" w:cs="仿宋_GB2312"/>
          <w:color w:val="auto"/>
          <w:szCs w:val="28"/>
          <w:highlight w:val="none"/>
        </w:rPr>
        <w:t>格式10</w:t>
      </w:r>
    </w:p>
    <w:p w14:paraId="3508AFA5">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投标函</w:t>
      </w:r>
    </w:p>
    <w:p w14:paraId="247F1F7A">
      <w:pPr>
        <w:keepNext w:val="0"/>
        <w:keepLines w:val="0"/>
        <w:pageBreakBefore w:val="0"/>
        <w:widowControl w:val="0"/>
        <w:kinsoku/>
        <w:wordWrap/>
        <w:overflowPunct/>
        <w:topLinePunct w:val="0"/>
        <w:autoSpaceDE/>
        <w:autoSpaceDN/>
        <w:bidi w:val="0"/>
        <w:adjustRightInd w:val="0"/>
        <w:snapToGrid w:val="0"/>
        <w:spacing w:line="440" w:lineRule="exact"/>
        <w:ind w:right="630" w:rightChars="300"/>
        <w:textAlignment w:val="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u w:val="single"/>
        </w:rPr>
        <w:t>（采购人或采购组织机构）：</w:t>
      </w:r>
    </w:p>
    <w:p w14:paraId="2E0FE747">
      <w:pPr>
        <w:keepNext w:val="0"/>
        <w:keepLines w:val="0"/>
        <w:pageBreakBefore w:val="0"/>
        <w:widowControl w:val="0"/>
        <w:kinsoku/>
        <w:wordWrap/>
        <w:overflowPunct/>
        <w:topLinePunct w:val="0"/>
        <w:autoSpaceDE/>
        <w:autoSpaceDN/>
        <w:bidi w:val="0"/>
        <w:adjustRightInd w:val="0"/>
        <w:snapToGrid w:val="0"/>
        <w:spacing w:line="440" w:lineRule="exact"/>
        <w:ind w:right="-21" w:rightChars="-1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 xml:space="preserve">    根据贵方</w:t>
      </w:r>
      <w:r>
        <w:rPr>
          <w:rFonts w:hint="eastAsia" w:ascii="仿宋_GB2312" w:hAnsi="仿宋" w:eastAsia="仿宋_GB2312" w:cs="仿宋_GB2312"/>
          <w:color w:val="auto"/>
          <w:sz w:val="24"/>
          <w:szCs w:val="21"/>
          <w:highlight w:val="none"/>
          <w:u w:val="single"/>
        </w:rPr>
        <w:t>(项目名称)</w:t>
      </w:r>
      <w:r>
        <w:rPr>
          <w:rFonts w:hint="eastAsia" w:ascii="仿宋_GB2312" w:hAnsi="仿宋" w:eastAsia="仿宋_GB2312" w:cs="仿宋_GB2312"/>
          <w:color w:val="auto"/>
          <w:sz w:val="24"/>
          <w:szCs w:val="21"/>
          <w:highlight w:val="none"/>
        </w:rPr>
        <w:t>项目的招标公告</w:t>
      </w:r>
      <w:r>
        <w:rPr>
          <w:rFonts w:hint="eastAsia" w:ascii="仿宋_GB2312" w:hAnsi="仿宋" w:eastAsia="仿宋_GB2312" w:cs="仿宋_GB2312"/>
          <w:color w:val="auto"/>
          <w:sz w:val="24"/>
          <w:szCs w:val="21"/>
          <w:highlight w:val="none"/>
          <w:u w:val="single"/>
        </w:rPr>
        <w:t>(招标编号)</w:t>
      </w:r>
      <w:r>
        <w:rPr>
          <w:rFonts w:hint="eastAsia" w:ascii="仿宋_GB2312" w:hAnsi="仿宋" w:eastAsia="仿宋_GB2312" w:cs="仿宋_GB2312"/>
          <w:color w:val="auto"/>
          <w:sz w:val="24"/>
          <w:szCs w:val="21"/>
          <w:highlight w:val="none"/>
        </w:rPr>
        <w:t>,签字代表</w:t>
      </w:r>
      <w:r>
        <w:rPr>
          <w:rFonts w:hint="eastAsia" w:ascii="仿宋_GB2312" w:hAnsi="仿宋" w:eastAsia="仿宋_GB2312" w:cs="仿宋_GB2312"/>
          <w:color w:val="auto"/>
          <w:sz w:val="24"/>
          <w:szCs w:val="21"/>
          <w:highlight w:val="none"/>
          <w:u w:val="single"/>
        </w:rPr>
        <w:t>(姓名、职务)</w:t>
      </w:r>
      <w:r>
        <w:rPr>
          <w:rFonts w:hint="eastAsia" w:ascii="仿宋_GB2312" w:hAnsi="仿宋" w:eastAsia="仿宋_GB2312" w:cs="仿宋_GB2312"/>
          <w:color w:val="auto"/>
          <w:sz w:val="24"/>
          <w:szCs w:val="21"/>
          <w:highlight w:val="none"/>
        </w:rPr>
        <w:t>经正式授权并代表投标人</w:t>
      </w:r>
      <w:r>
        <w:rPr>
          <w:rFonts w:hint="eastAsia" w:ascii="仿宋_GB2312" w:hAnsi="仿宋" w:eastAsia="仿宋_GB2312" w:cs="仿宋_GB2312"/>
          <w:color w:val="auto"/>
          <w:sz w:val="24"/>
          <w:szCs w:val="21"/>
          <w:highlight w:val="none"/>
          <w:u w:val="single"/>
        </w:rPr>
        <w:t>（名称、地址）</w:t>
      </w:r>
      <w:bookmarkStart w:id="117" w:name="_Hlk80971251"/>
      <w:bookmarkStart w:id="118" w:name="_Hlk80894428"/>
      <w:r>
        <w:rPr>
          <w:rFonts w:hint="eastAsia" w:ascii="仿宋_GB2312" w:hAnsi="仿宋" w:eastAsia="仿宋_GB2312" w:cs="仿宋_GB2312"/>
          <w:color w:val="auto"/>
          <w:sz w:val="24"/>
          <w:szCs w:val="21"/>
          <w:highlight w:val="none"/>
        </w:rPr>
        <w:t>线上提交投标文件加密电子版及现场提交加密的电子文档各</w:t>
      </w:r>
      <w:r>
        <w:rPr>
          <w:rFonts w:hint="eastAsia" w:ascii="仿宋_GB2312" w:hAnsi="仿宋" w:eastAsia="仿宋_GB2312" w:cs="仿宋_GB2312"/>
          <w:color w:val="auto"/>
          <w:sz w:val="24"/>
          <w:szCs w:val="21"/>
          <w:highlight w:val="none"/>
          <w:u w:val="single"/>
        </w:rPr>
        <w:t xml:space="preserve"> 1 </w:t>
      </w:r>
      <w:r>
        <w:rPr>
          <w:rFonts w:hint="eastAsia" w:ascii="仿宋_GB2312" w:hAnsi="仿宋" w:eastAsia="仿宋_GB2312" w:cs="仿宋_GB2312"/>
          <w:color w:val="auto"/>
          <w:sz w:val="24"/>
          <w:szCs w:val="21"/>
          <w:highlight w:val="none"/>
        </w:rPr>
        <w:t>份</w:t>
      </w:r>
      <w:bookmarkEnd w:id="117"/>
      <w:r>
        <w:rPr>
          <w:rFonts w:hint="eastAsia" w:ascii="仿宋_GB2312" w:hAnsi="仿宋" w:eastAsia="仿宋_GB2312" w:cs="仿宋_GB2312"/>
          <w:color w:val="auto"/>
          <w:sz w:val="24"/>
          <w:szCs w:val="21"/>
          <w:highlight w:val="none"/>
        </w:rPr>
        <w:t>，</w:t>
      </w:r>
      <w:bookmarkEnd w:id="118"/>
      <w:r>
        <w:rPr>
          <w:rFonts w:hint="eastAsia" w:ascii="仿宋_GB2312" w:hAnsi="仿宋" w:eastAsia="仿宋_GB2312" w:cs="仿宋_GB2312"/>
          <w:color w:val="auto"/>
          <w:sz w:val="24"/>
          <w:szCs w:val="21"/>
          <w:highlight w:val="none"/>
        </w:rPr>
        <w:t>并以</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形式出具的金额为人民币</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元的投标保证金。</w:t>
      </w:r>
    </w:p>
    <w:p w14:paraId="206A39B6">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据此，签字代表宣布同意如下：</w:t>
      </w:r>
    </w:p>
    <w:p w14:paraId="27F305B9">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本项目投标总价详见开标一览表。</w:t>
      </w:r>
    </w:p>
    <w:p w14:paraId="236D3773">
      <w:pPr>
        <w:keepNext w:val="0"/>
        <w:keepLines w:val="0"/>
        <w:pageBreakBefore w:val="0"/>
        <w:widowControl w:val="0"/>
        <w:numPr>
          <w:ilvl w:val="0"/>
          <w:numId w:val="2"/>
        </w:numPr>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本投标有效期为自递交投标文件截止之日起</w:t>
      </w:r>
      <w:r>
        <w:rPr>
          <w:rFonts w:hint="eastAsia" w:ascii="仿宋_GB2312" w:hAnsi="仿宋" w:eastAsia="仿宋_GB2312" w:cs="仿宋_GB2312"/>
          <w:color w:val="auto"/>
          <w:sz w:val="24"/>
          <w:szCs w:val="21"/>
          <w:highlight w:val="none"/>
          <w:u w:val="single"/>
        </w:rPr>
        <w:t>90</w:t>
      </w:r>
      <w:r>
        <w:rPr>
          <w:rFonts w:hint="eastAsia" w:ascii="仿宋_GB2312" w:hAnsi="仿宋" w:eastAsia="仿宋_GB2312" w:cs="仿宋_GB2312"/>
          <w:color w:val="auto"/>
          <w:sz w:val="24"/>
          <w:szCs w:val="21"/>
          <w:highlight w:val="none"/>
        </w:rPr>
        <w:t>日历日。</w:t>
      </w:r>
    </w:p>
    <w:p w14:paraId="65ACE631">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（3）已详细审查全部招标文件，包括所有补充通知（如有）。</w:t>
      </w:r>
    </w:p>
    <w:p w14:paraId="4609B73C">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（4）在规定的开标时间后，遵守招标文件中有关保证金的规定。</w:t>
      </w:r>
    </w:p>
    <w:p w14:paraId="19417E10">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（5）我方不是为本项目提供整体设计、规范编制或者项目管理、监理、检测等服务的供应商，我方不是采购组织机构的附属机构。</w:t>
      </w:r>
    </w:p>
    <w:p w14:paraId="29075B41">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（6）在领取中标通知书的同时按招标文件规定的形式，向采购组织机构一次性支付采购代理服务费（适用于中标人支付采购代理服务费情形）。</w:t>
      </w:r>
    </w:p>
    <w:p w14:paraId="25A04719">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（7）按照贵方可能要求，提供与其投标有关的一切数据或资料，完全理解贵方不一定接受最低价的投标或收到的任何投标。</w:t>
      </w:r>
    </w:p>
    <w:p w14:paraId="36E2E1E3">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（8）按照招标文件的规定履行合同责任和义务。</w:t>
      </w:r>
    </w:p>
    <w:p w14:paraId="7627D831">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hint="eastAsia"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（9）我方承诺投标文件中的证明材料真实、合法、有效。</w:t>
      </w:r>
    </w:p>
    <w:p w14:paraId="154539E9">
      <w:pPr>
        <w:keepNext w:val="0"/>
        <w:keepLines w:val="0"/>
        <w:pageBreakBefore w:val="0"/>
        <w:widowControl w:val="0"/>
        <w:kinsoku/>
        <w:wordWrap/>
        <w:overflowPunct/>
        <w:topLinePunct w:val="0"/>
        <w:autoSpaceDE/>
        <w:autoSpaceDN/>
        <w:bidi w:val="0"/>
        <w:adjustRightInd w:val="0"/>
        <w:snapToGrid w:val="0"/>
        <w:spacing w:line="440" w:lineRule="exact"/>
        <w:ind w:right="-21" w:rightChars="-10"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其他事项：</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w:t>
      </w:r>
    </w:p>
    <w:p w14:paraId="04C77B35">
      <w:pPr>
        <w:keepNext w:val="0"/>
        <w:keepLines w:val="0"/>
        <w:pageBreakBefore w:val="0"/>
        <w:widowControl w:val="0"/>
        <w:kinsoku/>
        <w:wordWrap/>
        <w:overflowPunct/>
        <w:topLinePunct w:val="0"/>
        <w:autoSpaceDE/>
        <w:autoSpaceDN/>
        <w:bidi w:val="0"/>
        <w:adjustRightInd w:val="0"/>
        <w:snapToGrid w:val="0"/>
        <w:spacing w:line="420" w:lineRule="exact"/>
        <w:ind w:right="-21" w:rightChars="-10"/>
        <w:textAlignment w:val="auto"/>
        <w:rPr>
          <w:rFonts w:hint="eastAsia" w:ascii="仿宋_GB2312" w:hAnsi="仿宋" w:eastAsia="仿宋_GB2312" w:cs="仿宋_GB2312"/>
          <w:color w:val="auto"/>
          <w:sz w:val="24"/>
          <w:szCs w:val="21"/>
          <w:highlight w:val="none"/>
        </w:rPr>
      </w:pPr>
    </w:p>
    <w:p w14:paraId="088A8DF8">
      <w:pPr>
        <w:keepNext w:val="0"/>
        <w:keepLines w:val="0"/>
        <w:pageBreakBefore w:val="0"/>
        <w:widowControl w:val="0"/>
        <w:kinsoku/>
        <w:wordWrap/>
        <w:overflowPunct/>
        <w:topLinePunct w:val="0"/>
        <w:autoSpaceDE/>
        <w:autoSpaceDN/>
        <w:bidi w:val="0"/>
        <w:adjustRightInd w:val="0"/>
        <w:snapToGrid w:val="0"/>
        <w:spacing w:line="420" w:lineRule="exact"/>
        <w:ind w:right="-21" w:rightChars="-1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与本项目有关的一切往来通讯请寄</w:t>
      </w:r>
    </w:p>
    <w:p w14:paraId="6013214B">
      <w:pPr>
        <w:keepNext w:val="0"/>
        <w:keepLines w:val="0"/>
        <w:pageBreakBefore w:val="0"/>
        <w:widowControl w:val="0"/>
        <w:kinsoku/>
        <w:wordWrap/>
        <w:overflowPunct/>
        <w:topLinePunct w:val="0"/>
        <w:autoSpaceDE/>
        <w:autoSpaceDN/>
        <w:bidi w:val="0"/>
        <w:adjustRightInd w:val="0"/>
        <w:snapToGrid w:val="0"/>
        <w:spacing w:line="420" w:lineRule="exact"/>
        <w:ind w:right="-21" w:rightChars="-10"/>
        <w:textAlignment w:val="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地     址：</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 xml:space="preserve">         传    真：</w:t>
      </w:r>
      <w:r>
        <w:rPr>
          <w:rFonts w:hint="eastAsia" w:ascii="仿宋_GB2312" w:hAnsi="仿宋" w:eastAsia="仿宋_GB2312" w:cs="仿宋_GB2312"/>
          <w:color w:val="auto"/>
          <w:sz w:val="24"/>
          <w:szCs w:val="21"/>
          <w:highlight w:val="none"/>
          <w:u w:val="single"/>
        </w:rPr>
        <w:t xml:space="preserve">                  </w:t>
      </w:r>
    </w:p>
    <w:p w14:paraId="4051E85E">
      <w:pPr>
        <w:keepNext w:val="0"/>
        <w:keepLines w:val="0"/>
        <w:pageBreakBefore w:val="0"/>
        <w:widowControl w:val="0"/>
        <w:kinsoku/>
        <w:wordWrap/>
        <w:overflowPunct/>
        <w:topLinePunct w:val="0"/>
        <w:autoSpaceDE/>
        <w:autoSpaceDN/>
        <w:bidi w:val="0"/>
        <w:adjustRightInd w:val="0"/>
        <w:snapToGrid w:val="0"/>
        <w:spacing w:line="420" w:lineRule="exact"/>
        <w:ind w:right="-21" w:rightChars="-10"/>
        <w:textAlignment w:val="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电     话：</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 xml:space="preserve">         电子邮件：</w:t>
      </w:r>
      <w:r>
        <w:rPr>
          <w:rFonts w:hint="eastAsia" w:ascii="仿宋_GB2312" w:hAnsi="仿宋" w:eastAsia="仿宋_GB2312" w:cs="仿宋_GB2312"/>
          <w:color w:val="auto"/>
          <w:sz w:val="24"/>
          <w:szCs w:val="21"/>
          <w:highlight w:val="none"/>
          <w:u w:val="single"/>
        </w:rPr>
        <w:t xml:space="preserve">                  </w:t>
      </w:r>
    </w:p>
    <w:p w14:paraId="5BC61139">
      <w:pPr>
        <w:keepNext w:val="0"/>
        <w:keepLines w:val="0"/>
        <w:pageBreakBefore w:val="0"/>
        <w:widowControl w:val="0"/>
        <w:kinsoku/>
        <w:wordWrap/>
        <w:overflowPunct/>
        <w:topLinePunct w:val="0"/>
        <w:autoSpaceDE/>
        <w:autoSpaceDN/>
        <w:bidi w:val="0"/>
        <w:adjustRightInd w:val="0"/>
        <w:snapToGrid w:val="0"/>
        <w:spacing w:line="420" w:lineRule="exact"/>
        <w:ind w:right="-21" w:rightChars="-10"/>
        <w:textAlignment w:val="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法定代表人（非法人组织负责人）或其授权委托人（签字或盖章）：</w:t>
      </w:r>
      <w:r>
        <w:rPr>
          <w:rFonts w:hint="eastAsia" w:ascii="仿宋_GB2312" w:hAnsi="仿宋" w:eastAsia="仿宋_GB2312" w:cs="仿宋_GB2312"/>
          <w:color w:val="auto"/>
          <w:sz w:val="24"/>
          <w:szCs w:val="21"/>
          <w:highlight w:val="none"/>
          <w:u w:val="single"/>
        </w:rPr>
        <w:t xml:space="preserve">         </w:t>
      </w:r>
    </w:p>
    <w:p w14:paraId="75ABA5FC">
      <w:pPr>
        <w:keepNext w:val="0"/>
        <w:keepLines w:val="0"/>
        <w:pageBreakBefore w:val="0"/>
        <w:widowControl w:val="0"/>
        <w:kinsoku/>
        <w:wordWrap/>
        <w:overflowPunct/>
        <w:topLinePunct w:val="0"/>
        <w:autoSpaceDE/>
        <w:autoSpaceDN/>
        <w:bidi w:val="0"/>
        <w:adjustRightInd w:val="0"/>
        <w:snapToGrid w:val="0"/>
        <w:spacing w:line="420" w:lineRule="exact"/>
        <w:ind w:right="-21" w:rightChars="-1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投标人名称（加盖单位公章）：</w:t>
      </w:r>
      <w:r>
        <w:rPr>
          <w:rFonts w:hint="eastAsia" w:ascii="仿宋_GB2312" w:hAnsi="仿宋" w:eastAsia="仿宋_GB2312" w:cs="仿宋_GB2312"/>
          <w:color w:val="auto"/>
          <w:sz w:val="24"/>
          <w:szCs w:val="21"/>
          <w:highlight w:val="none"/>
          <w:u w:val="single"/>
        </w:rPr>
        <w:t xml:space="preserve">          </w:t>
      </w:r>
    </w:p>
    <w:p w14:paraId="398EE377">
      <w:pPr>
        <w:keepNext w:val="0"/>
        <w:keepLines w:val="0"/>
        <w:pageBreakBefore w:val="0"/>
        <w:widowControl w:val="0"/>
        <w:kinsoku/>
        <w:wordWrap/>
        <w:overflowPunct/>
        <w:topLinePunct w:val="0"/>
        <w:autoSpaceDE/>
        <w:autoSpaceDN/>
        <w:bidi w:val="0"/>
        <w:adjustRightInd w:val="0"/>
        <w:snapToGrid w:val="0"/>
        <w:spacing w:line="420" w:lineRule="exact"/>
        <w:ind w:right="-21" w:rightChars="-1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投标人开户银行（全称）：</w:t>
      </w:r>
      <w:r>
        <w:rPr>
          <w:rFonts w:hint="eastAsia" w:ascii="仿宋_GB2312" w:hAnsi="仿宋" w:eastAsia="仿宋_GB2312" w:cs="仿宋_GB2312"/>
          <w:color w:val="auto"/>
          <w:sz w:val="24"/>
          <w:szCs w:val="21"/>
          <w:highlight w:val="none"/>
          <w:u w:val="single"/>
        </w:rPr>
        <w:t xml:space="preserve">              </w:t>
      </w:r>
    </w:p>
    <w:p w14:paraId="1742B615">
      <w:pPr>
        <w:keepNext w:val="0"/>
        <w:keepLines w:val="0"/>
        <w:pageBreakBefore w:val="0"/>
        <w:widowControl w:val="0"/>
        <w:kinsoku/>
        <w:wordWrap/>
        <w:overflowPunct/>
        <w:topLinePunct w:val="0"/>
        <w:autoSpaceDE/>
        <w:autoSpaceDN/>
        <w:bidi w:val="0"/>
        <w:adjustRightInd w:val="0"/>
        <w:snapToGrid w:val="0"/>
        <w:spacing w:line="420" w:lineRule="exact"/>
        <w:ind w:right="-21" w:rightChars="-1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投标人银行账号：</w:t>
      </w:r>
      <w:r>
        <w:rPr>
          <w:rFonts w:hint="eastAsia" w:ascii="仿宋_GB2312" w:hAnsi="仿宋" w:eastAsia="仿宋_GB2312" w:cs="仿宋_GB2312"/>
          <w:color w:val="auto"/>
          <w:sz w:val="24"/>
          <w:szCs w:val="21"/>
          <w:highlight w:val="none"/>
          <w:u w:val="single"/>
        </w:rPr>
        <w:t xml:space="preserve">                      </w:t>
      </w:r>
    </w:p>
    <w:p w14:paraId="6A23111F">
      <w:pPr>
        <w:keepNext w:val="0"/>
        <w:keepLines w:val="0"/>
        <w:pageBreakBefore w:val="0"/>
        <w:widowControl w:val="0"/>
        <w:kinsoku/>
        <w:wordWrap/>
        <w:overflowPunct/>
        <w:topLinePunct w:val="0"/>
        <w:autoSpaceDE/>
        <w:autoSpaceDN/>
        <w:bidi w:val="0"/>
        <w:adjustRightInd w:val="0"/>
        <w:snapToGrid w:val="0"/>
        <w:spacing w:line="420" w:lineRule="exact"/>
        <w:jc w:val="left"/>
        <w:textAlignment w:val="auto"/>
        <w:rPr>
          <w:color w:val="auto"/>
          <w:highlight w:val="none"/>
          <w:u w:val="single"/>
        </w:rPr>
        <w:sectPr>
          <w:pgSz w:w="11906" w:h="16838"/>
          <w:pgMar w:top="1468" w:right="1803" w:bottom="1418" w:left="1803" w:header="851" w:footer="1024" w:gutter="0"/>
          <w:pgBorders>
            <w:top w:val="none" w:sz="0" w:space="0"/>
            <w:left w:val="none" w:sz="0" w:space="0"/>
            <w:bottom w:val="none" w:sz="0" w:space="0"/>
            <w:right w:val="none" w:sz="0" w:space="0"/>
          </w:pgBorders>
          <w:cols w:space="720" w:num="1"/>
          <w:docGrid w:type="linesAndChars" w:linePitch="319" w:charSpace="0"/>
        </w:sectPr>
      </w:pPr>
      <w:r>
        <w:rPr>
          <w:rFonts w:hint="eastAsia" w:ascii="仿宋_GB2312" w:hAnsi="仿宋" w:eastAsia="仿宋_GB2312" w:cs="仿宋_GB2312"/>
          <w:color w:val="auto"/>
          <w:sz w:val="24"/>
          <w:szCs w:val="21"/>
          <w:highlight w:val="none"/>
        </w:rPr>
        <w:t>日    期：</w:t>
      </w:r>
      <w:r>
        <w:rPr>
          <w:rFonts w:hint="eastAsia" w:ascii="仿宋_GB2312" w:hAnsi="仿宋" w:eastAsia="仿宋_GB2312" w:cs="仿宋_GB2312"/>
          <w:color w:val="auto"/>
          <w:sz w:val="24"/>
          <w:szCs w:val="21"/>
          <w:highlight w:val="none"/>
          <w:u w:val="single"/>
        </w:rPr>
        <w:t xml:space="preserve">                            </w:t>
      </w:r>
    </w:p>
    <w:p w14:paraId="489CA1D9">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t>格式11</w:t>
      </w:r>
    </w:p>
    <w:p w14:paraId="7E2168CC">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bookmarkStart w:id="119" w:name="_Toc11267_WPSOffice_Level2"/>
      <w:bookmarkStart w:id="120" w:name="_Toc2673_WPSOffice_Level2"/>
      <w:r>
        <w:rPr>
          <w:rFonts w:hint="eastAsia" w:ascii="方正小标宋简体" w:hAnsi="仿宋_GB2312" w:eastAsia="方正小标宋简体" w:cs="仿宋_GB2312"/>
          <w:color w:val="auto"/>
          <w:sz w:val="32"/>
          <w:szCs w:val="32"/>
          <w:highlight w:val="none"/>
        </w:rPr>
        <w:t>开标一览表</w:t>
      </w:r>
      <w:bookmarkEnd w:id="119"/>
      <w:bookmarkEnd w:id="120"/>
    </w:p>
    <w:p w14:paraId="115E28DA">
      <w:pPr>
        <w:adjustRightInd w:val="0"/>
        <w:snapToGrid w:val="0"/>
        <w:spacing w:line="360" w:lineRule="auto"/>
        <w:ind w:right="105" w:rightChars="50"/>
        <w:jc w:val="left"/>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lang w:val="en-US" w:eastAsia="zh-CN"/>
        </w:rPr>
        <w:t>包号</w:t>
      </w:r>
      <w:r>
        <w:rPr>
          <w:rFonts w:hint="eastAsia" w:ascii="仿宋_GB2312" w:hAnsi="仿宋" w:eastAsia="仿宋_GB2312" w:cs="仿宋_GB2312"/>
          <w:b/>
          <w:bCs/>
          <w:color w:val="auto"/>
          <w:sz w:val="24"/>
          <w:szCs w:val="21"/>
          <w:highlight w:val="none"/>
        </w:rPr>
        <w:t>：</w:t>
      </w:r>
      <w:r>
        <w:rPr>
          <w:rFonts w:hint="eastAsia" w:ascii="仿宋_GB2312" w:hAnsi="仿宋" w:eastAsia="仿宋_GB2312" w:cs="仿宋_GB2312"/>
          <w:b/>
          <w:bCs/>
          <w:color w:val="auto"/>
          <w:sz w:val="24"/>
          <w:szCs w:val="21"/>
          <w:highlight w:val="none"/>
          <w:lang w:val="en-US" w:eastAsia="zh-CN"/>
        </w:rPr>
        <w:t>001</w:t>
      </w:r>
      <w:r>
        <w:rPr>
          <w:rFonts w:hint="eastAsia" w:ascii="仿宋_GB2312" w:hAnsi="仿宋" w:eastAsia="仿宋_GB2312" w:cs="仿宋_GB2312"/>
          <w:b/>
          <w:bCs/>
          <w:color w:val="auto"/>
          <w:sz w:val="24"/>
          <w:szCs w:val="21"/>
          <w:highlight w:val="none"/>
        </w:rPr>
        <w:t xml:space="preserve">                                               报价单位：元</w:t>
      </w:r>
    </w:p>
    <w:tbl>
      <w:tblPr>
        <w:tblStyle w:val="25"/>
        <w:tblW w:w="8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2123"/>
        <w:gridCol w:w="1466"/>
        <w:gridCol w:w="1284"/>
        <w:gridCol w:w="1233"/>
        <w:gridCol w:w="751"/>
      </w:tblGrid>
      <w:tr w14:paraId="6802A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19" w:type="dxa"/>
            <w:vAlign w:val="center"/>
          </w:tcPr>
          <w:p w14:paraId="62AEFB23">
            <w:pPr>
              <w:adjustRightInd w:val="0"/>
              <w:snapToGrid w:val="0"/>
              <w:ind w:left="-54" w:leftChars="-26" w:right="-46" w:rightChars="-22"/>
              <w:jc w:val="center"/>
              <w:rPr>
                <w:rFonts w:hint="default" w:ascii="仿宋_GB2312" w:hAnsi="仿宋" w:eastAsia="仿宋_GB2312" w:cs="仿宋_GB2312"/>
                <w:b/>
                <w:bCs/>
                <w:color w:val="auto"/>
                <w:sz w:val="24"/>
                <w:szCs w:val="21"/>
                <w:highlight w:val="none"/>
                <w:lang w:val="en-US" w:eastAsia="zh-CN"/>
              </w:rPr>
            </w:pPr>
            <w:r>
              <w:rPr>
                <w:rFonts w:hint="eastAsia" w:ascii="仿宋_GB2312" w:hAnsi="仿宋" w:eastAsia="仿宋_GB2312" w:cs="仿宋_GB2312"/>
                <w:b/>
                <w:bCs/>
                <w:color w:val="auto"/>
                <w:sz w:val="24"/>
                <w:szCs w:val="21"/>
                <w:highlight w:val="none"/>
                <w:lang w:val="en-US" w:eastAsia="zh-CN"/>
              </w:rPr>
              <w:t>项目名称</w:t>
            </w:r>
          </w:p>
        </w:tc>
        <w:tc>
          <w:tcPr>
            <w:tcW w:w="2123" w:type="dxa"/>
            <w:vAlign w:val="center"/>
          </w:tcPr>
          <w:p w14:paraId="3DFA7230">
            <w:pPr>
              <w:adjustRightInd w:val="0"/>
              <w:snapToGrid w:val="0"/>
              <w:ind w:left="-54" w:leftChars="-26" w:right="-46" w:rightChars="-22"/>
              <w:jc w:val="center"/>
              <w:rPr>
                <w:rFonts w:hint="eastAsia"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投标总价</w:t>
            </w:r>
          </w:p>
          <w:p w14:paraId="65B2F494">
            <w:pPr>
              <w:adjustRightInd w:val="0"/>
              <w:snapToGrid w:val="0"/>
              <w:ind w:left="-54" w:leftChars="-26" w:right="-46" w:rightChars="-22"/>
              <w:jc w:val="center"/>
              <w:rPr>
                <w:rFonts w:hint="eastAsia" w:ascii="仿宋_GB2312" w:hAnsi="仿宋" w:eastAsia="仿宋_GB2312" w:cs="仿宋_GB2312"/>
                <w:b/>
                <w:bCs/>
                <w:color w:val="auto"/>
                <w:sz w:val="24"/>
                <w:szCs w:val="21"/>
                <w:highlight w:val="none"/>
                <w:lang w:eastAsia="zh-CN"/>
              </w:rPr>
            </w:pPr>
            <w:r>
              <w:rPr>
                <w:rFonts w:hint="eastAsia" w:ascii="仿宋_GB2312" w:hAnsi="仿宋" w:eastAsia="仿宋_GB2312" w:cs="仿宋_GB2312"/>
                <w:b/>
                <w:bCs/>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元</w:t>
            </w:r>
            <w:r>
              <w:rPr>
                <w:rFonts w:hint="eastAsia" w:ascii="仿宋_GB2312" w:hAnsi="仿宋" w:eastAsia="仿宋_GB2312" w:cs="仿宋_GB2312"/>
                <w:b/>
                <w:bCs/>
                <w:color w:val="auto"/>
                <w:sz w:val="24"/>
                <w:szCs w:val="21"/>
                <w:highlight w:val="none"/>
                <w:lang w:eastAsia="zh-CN"/>
              </w:rPr>
              <w:t>）</w:t>
            </w:r>
          </w:p>
        </w:tc>
        <w:tc>
          <w:tcPr>
            <w:tcW w:w="1466" w:type="dxa"/>
            <w:vAlign w:val="center"/>
          </w:tcPr>
          <w:p w14:paraId="5AD7B86E">
            <w:pPr>
              <w:adjustRightInd w:val="0"/>
              <w:snapToGrid w:val="0"/>
              <w:ind w:left="-54" w:leftChars="-26" w:right="-46" w:rightChars="-22"/>
              <w:jc w:val="center"/>
              <w:rPr>
                <w:rFonts w:hint="eastAsia" w:ascii="仿宋_GB2312" w:hAnsi="仿宋" w:eastAsia="仿宋_GB2312" w:cs="仿宋_GB2312"/>
                <w:b/>
                <w:bCs/>
                <w:color w:val="auto"/>
                <w:sz w:val="24"/>
                <w:szCs w:val="21"/>
                <w:highlight w:val="none"/>
                <w:lang w:eastAsia="zh-CN"/>
              </w:rPr>
            </w:pPr>
            <w:r>
              <w:rPr>
                <w:rFonts w:hint="eastAsia" w:ascii="仿宋_GB2312" w:hAnsi="仿宋" w:eastAsia="仿宋_GB2312" w:cs="仿宋_GB2312"/>
                <w:b/>
                <w:bCs/>
                <w:color w:val="auto"/>
                <w:sz w:val="24"/>
                <w:szCs w:val="21"/>
                <w:highlight w:val="none"/>
              </w:rPr>
              <w:t>投标保证金</w:t>
            </w:r>
            <w:r>
              <w:rPr>
                <w:rFonts w:hint="eastAsia" w:ascii="仿宋_GB2312" w:hAnsi="仿宋" w:eastAsia="仿宋_GB2312" w:cs="仿宋_GB2312"/>
                <w:b/>
                <w:bCs/>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元</w:t>
            </w:r>
            <w:r>
              <w:rPr>
                <w:rFonts w:hint="eastAsia" w:ascii="仿宋_GB2312" w:hAnsi="仿宋" w:eastAsia="仿宋_GB2312" w:cs="仿宋_GB2312"/>
                <w:b/>
                <w:bCs/>
                <w:color w:val="auto"/>
                <w:sz w:val="24"/>
                <w:szCs w:val="21"/>
                <w:highlight w:val="none"/>
                <w:lang w:eastAsia="zh-CN"/>
              </w:rPr>
              <w:t>）</w:t>
            </w:r>
          </w:p>
        </w:tc>
        <w:tc>
          <w:tcPr>
            <w:tcW w:w="1284" w:type="dxa"/>
            <w:vAlign w:val="center"/>
          </w:tcPr>
          <w:p w14:paraId="70DAE2A4">
            <w:pPr>
              <w:adjustRightInd w:val="0"/>
              <w:snapToGrid w:val="0"/>
              <w:ind w:left="-54" w:leftChars="-26" w:right="-46" w:rightChars="-22"/>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交货时间</w:t>
            </w:r>
          </w:p>
        </w:tc>
        <w:tc>
          <w:tcPr>
            <w:tcW w:w="1233" w:type="dxa"/>
            <w:vAlign w:val="center"/>
          </w:tcPr>
          <w:p w14:paraId="64A5D5C1">
            <w:pPr>
              <w:adjustRightInd w:val="0"/>
              <w:snapToGrid w:val="0"/>
              <w:ind w:left="-54" w:leftChars="-26" w:right="-46" w:rightChars="-22"/>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交货地点</w:t>
            </w:r>
          </w:p>
        </w:tc>
        <w:tc>
          <w:tcPr>
            <w:tcW w:w="751" w:type="dxa"/>
            <w:vAlign w:val="center"/>
          </w:tcPr>
          <w:p w14:paraId="71534CA6">
            <w:pPr>
              <w:adjustRightInd w:val="0"/>
              <w:snapToGrid w:val="0"/>
              <w:ind w:left="-54" w:leftChars="-26" w:right="-46" w:rightChars="-22"/>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备注</w:t>
            </w:r>
          </w:p>
        </w:tc>
      </w:tr>
      <w:tr w14:paraId="34894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3" w:hRule="atLeast"/>
          <w:jc w:val="center"/>
        </w:trPr>
        <w:tc>
          <w:tcPr>
            <w:tcW w:w="1919" w:type="dxa"/>
            <w:vAlign w:val="center"/>
          </w:tcPr>
          <w:p w14:paraId="3572E5C4">
            <w:pPr>
              <w:adjustRightInd w:val="0"/>
              <w:snapToGrid w:val="0"/>
              <w:ind w:left="-54" w:leftChars="-26" w:right="-46" w:rightChars="-22"/>
              <w:jc w:val="center"/>
              <w:rPr>
                <w:rFonts w:ascii="仿宋_GB2312" w:hAnsi="仿宋" w:eastAsia="仿宋_GB2312" w:cs="仿宋_GB2312"/>
                <w:color w:val="auto"/>
                <w:sz w:val="24"/>
                <w:szCs w:val="21"/>
                <w:highlight w:val="none"/>
              </w:rPr>
            </w:pPr>
          </w:p>
        </w:tc>
        <w:tc>
          <w:tcPr>
            <w:tcW w:w="2123" w:type="dxa"/>
            <w:vAlign w:val="center"/>
          </w:tcPr>
          <w:p w14:paraId="71D4B69A">
            <w:pPr>
              <w:adjustRightInd w:val="0"/>
              <w:snapToGrid w:val="0"/>
              <w:ind w:left="-54" w:leftChars="-26" w:right="-46" w:rightChars="-22"/>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小写：</w:t>
            </w:r>
          </w:p>
          <w:p w14:paraId="33A12155">
            <w:pPr>
              <w:adjustRightInd w:val="0"/>
              <w:snapToGrid w:val="0"/>
              <w:ind w:left="-54" w:leftChars="-26" w:right="-46" w:rightChars="-22"/>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大写：</w:t>
            </w:r>
          </w:p>
        </w:tc>
        <w:tc>
          <w:tcPr>
            <w:tcW w:w="1466" w:type="dxa"/>
            <w:vAlign w:val="center"/>
          </w:tcPr>
          <w:p w14:paraId="4F7BCE8B">
            <w:pPr>
              <w:adjustRightInd w:val="0"/>
              <w:snapToGrid w:val="0"/>
              <w:ind w:left="-54" w:leftChars="-26" w:right="-46" w:rightChars="-22"/>
              <w:jc w:val="center"/>
              <w:rPr>
                <w:rFonts w:ascii="仿宋_GB2312" w:hAnsi="仿宋" w:eastAsia="仿宋_GB2312" w:cs="仿宋_GB2312"/>
                <w:color w:val="auto"/>
                <w:sz w:val="24"/>
                <w:szCs w:val="21"/>
                <w:highlight w:val="none"/>
              </w:rPr>
            </w:pPr>
          </w:p>
        </w:tc>
        <w:tc>
          <w:tcPr>
            <w:tcW w:w="1284" w:type="dxa"/>
            <w:vAlign w:val="center"/>
          </w:tcPr>
          <w:p w14:paraId="6211EA00">
            <w:pPr>
              <w:adjustRightInd w:val="0"/>
              <w:snapToGrid w:val="0"/>
              <w:ind w:left="-54" w:leftChars="-26" w:right="-46" w:rightChars="-22"/>
              <w:jc w:val="center"/>
              <w:rPr>
                <w:rFonts w:ascii="仿宋_GB2312" w:hAnsi="仿宋" w:eastAsia="仿宋_GB2312" w:cs="仿宋_GB2312"/>
                <w:color w:val="auto"/>
                <w:sz w:val="24"/>
                <w:szCs w:val="21"/>
                <w:highlight w:val="none"/>
              </w:rPr>
            </w:pPr>
          </w:p>
        </w:tc>
        <w:tc>
          <w:tcPr>
            <w:tcW w:w="1233" w:type="dxa"/>
            <w:vAlign w:val="center"/>
          </w:tcPr>
          <w:p w14:paraId="08027937">
            <w:pPr>
              <w:adjustRightInd w:val="0"/>
              <w:snapToGrid w:val="0"/>
              <w:ind w:left="-54" w:leftChars="-26" w:right="-46" w:rightChars="-22"/>
              <w:jc w:val="center"/>
              <w:rPr>
                <w:rFonts w:ascii="仿宋_GB2312" w:hAnsi="仿宋" w:eastAsia="仿宋_GB2312" w:cs="仿宋_GB2312"/>
                <w:color w:val="auto"/>
                <w:sz w:val="24"/>
                <w:szCs w:val="21"/>
                <w:highlight w:val="none"/>
              </w:rPr>
            </w:pPr>
          </w:p>
        </w:tc>
        <w:tc>
          <w:tcPr>
            <w:tcW w:w="751" w:type="dxa"/>
            <w:vAlign w:val="center"/>
          </w:tcPr>
          <w:p w14:paraId="5C404224">
            <w:pPr>
              <w:adjustRightInd w:val="0"/>
              <w:snapToGrid w:val="0"/>
              <w:ind w:left="-54" w:leftChars="-26" w:right="-46" w:rightChars="-22"/>
              <w:jc w:val="center"/>
              <w:rPr>
                <w:rFonts w:ascii="仿宋_GB2312" w:hAnsi="仿宋" w:eastAsia="仿宋_GB2312" w:cs="仿宋_GB2312"/>
                <w:color w:val="auto"/>
                <w:sz w:val="24"/>
                <w:szCs w:val="21"/>
                <w:highlight w:val="none"/>
              </w:rPr>
            </w:pPr>
          </w:p>
        </w:tc>
      </w:tr>
    </w:tbl>
    <w:p w14:paraId="3910A64C">
      <w:pPr>
        <w:adjustRightInd w:val="0"/>
        <w:snapToGrid w:val="0"/>
        <w:spacing w:before="159" w:beforeLines="50" w:line="360" w:lineRule="auto"/>
        <w:ind w:right="105" w:rightChars="50"/>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注：此表中，投标总价应和分项报价表的总价相一致。</w:t>
      </w:r>
    </w:p>
    <w:p w14:paraId="7C017D88">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7BF2CDC9">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7BD37065">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447BC227">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bookmarkStart w:id="225" w:name="_GoBack"/>
      <w:bookmarkEnd w:id="225"/>
    </w:p>
    <w:p w14:paraId="4217FB49">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0F0CD646">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144F9695">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r>
        <w:rPr>
          <w:rFonts w:ascii="仿宋_GB2312" w:hAnsi="仿宋" w:eastAsia="仿宋_GB2312" w:cs="仿宋_GB2312"/>
          <w:color w:val="auto"/>
          <w:sz w:val="24"/>
          <w:highlight w:val="none"/>
          <w:u w:val="single"/>
        </w:rPr>
        <w:t xml:space="preserve">     </w:t>
      </w:r>
    </w:p>
    <w:p w14:paraId="4253D65B">
      <w:pPr>
        <w:spacing w:line="480" w:lineRule="auto"/>
        <w:ind w:right="1050" w:rightChars="500"/>
        <w:jc w:val="left"/>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szCs w:val="21"/>
          <w:highlight w:val="none"/>
        </w:rPr>
        <w:t xml:space="preserve"> </w:t>
      </w:r>
    </w:p>
    <w:p w14:paraId="7725B12C">
      <w:pPr>
        <w:adjustRightInd w:val="0"/>
        <w:snapToGrid w:val="0"/>
        <w:spacing w:line="360" w:lineRule="auto"/>
        <w:ind w:right="105" w:rightChars="50"/>
        <w:jc w:val="left"/>
        <w:rPr>
          <w:rFonts w:ascii="仿宋_GB2312" w:hAnsi="仿宋" w:eastAsia="仿宋_GB2312" w:cs="仿宋_GB2312"/>
          <w:color w:val="auto"/>
          <w:szCs w:val="21"/>
          <w:highlight w:val="none"/>
        </w:rPr>
      </w:pPr>
    </w:p>
    <w:p w14:paraId="64B520E3">
      <w:pPr>
        <w:pStyle w:val="3"/>
        <w:adjustRightInd w:val="0"/>
        <w:snapToGrid w:val="0"/>
        <w:spacing w:before="0" w:after="0" w:line="240" w:lineRule="auto"/>
        <w:jc w:val="left"/>
        <w:rPr>
          <w:rFonts w:ascii="仿宋_GB2312" w:hAnsi="仿宋" w:eastAsia="仿宋_GB2312" w:cs="仿宋_GB2312"/>
          <w:color w:val="auto"/>
          <w:szCs w:val="28"/>
          <w:highlight w:val="none"/>
        </w:rPr>
        <w:sectPr>
          <w:pgSz w:w="11906" w:h="16838"/>
          <w:pgMar w:top="1468" w:right="1803" w:bottom="1418" w:left="1803" w:header="851" w:footer="1024" w:gutter="0"/>
          <w:pgBorders>
            <w:top w:val="none" w:sz="0" w:space="0"/>
            <w:left w:val="none" w:sz="0" w:space="0"/>
            <w:bottom w:val="none" w:sz="0" w:space="0"/>
            <w:right w:val="none" w:sz="0" w:space="0"/>
          </w:pgBorders>
          <w:cols w:space="720" w:num="1"/>
          <w:docGrid w:type="linesAndChars" w:linePitch="319" w:charSpace="0"/>
        </w:sectPr>
      </w:pPr>
    </w:p>
    <w:p w14:paraId="1337F8E8">
      <w:pPr>
        <w:pStyle w:val="3"/>
        <w:adjustRightInd w:val="0"/>
        <w:snapToGrid w:val="0"/>
        <w:spacing w:before="0" w:after="0" w:line="240" w:lineRule="auto"/>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Cs w:val="28"/>
          <w:highlight w:val="none"/>
        </w:rPr>
        <w:t>格式1</w:t>
      </w:r>
      <w:bookmarkStart w:id="121" w:name="_Toc28271_WPSOffice_Level2"/>
      <w:bookmarkStart w:id="122" w:name="_Toc16044_WPSOffice_Level2"/>
      <w:r>
        <w:rPr>
          <w:rFonts w:hint="eastAsia" w:ascii="仿宋_GB2312" w:hAnsi="仿宋" w:eastAsia="仿宋_GB2312" w:cs="仿宋_GB2312"/>
          <w:color w:val="auto"/>
          <w:szCs w:val="28"/>
          <w:highlight w:val="none"/>
        </w:rPr>
        <w:t>2</w:t>
      </w:r>
    </w:p>
    <w:bookmarkEnd w:id="121"/>
    <w:bookmarkEnd w:id="122"/>
    <w:p w14:paraId="5EEB4903">
      <w:pPr>
        <w:spacing w:before="159" w:beforeLines="50" w:line="360" w:lineRule="auto"/>
        <w:ind w:right="-21" w:rightChars="-10"/>
        <w:jc w:val="center"/>
        <w:rPr>
          <w:rFonts w:hint="default" w:ascii="方正小标宋简体" w:hAnsi="仿宋_GB2312" w:eastAsia="方正小标宋简体" w:cs="仿宋_GB2312"/>
          <w:color w:val="auto"/>
          <w:sz w:val="32"/>
          <w:szCs w:val="32"/>
          <w:highlight w:val="none"/>
          <w:lang w:val="en-US" w:eastAsia="zh-CN"/>
        </w:rPr>
      </w:pPr>
      <w:r>
        <w:rPr>
          <w:rFonts w:hint="eastAsia" w:ascii="方正小标宋简体" w:hAnsi="仿宋" w:eastAsia="方正小标宋简体" w:cs="仿宋_GB2312"/>
          <w:bCs/>
          <w:color w:val="auto"/>
          <w:sz w:val="32"/>
          <w:szCs w:val="32"/>
          <w:highlight w:val="none"/>
        </w:rPr>
        <w:t>分项报价表</w:t>
      </w:r>
    </w:p>
    <w:p w14:paraId="11A0F020">
      <w:pPr>
        <w:adjustRightInd w:val="0"/>
        <w:snapToGrid w:val="0"/>
        <w:spacing w:line="360" w:lineRule="auto"/>
        <w:ind w:right="105" w:rightChars="50"/>
        <w:jc w:val="left"/>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 xml:space="preserve">包号：001                                         </w:t>
      </w:r>
      <w:r>
        <w:rPr>
          <w:rFonts w:ascii="仿宋_GB2312" w:hAnsi="仿宋" w:eastAsia="仿宋_GB2312" w:cs="仿宋_GB2312"/>
          <w:b/>
          <w:bCs/>
          <w:color w:val="auto"/>
          <w:sz w:val="24"/>
          <w:szCs w:val="21"/>
          <w:highlight w:val="none"/>
        </w:rPr>
        <w:t xml:space="preserve"> </w:t>
      </w:r>
      <w:r>
        <w:rPr>
          <w:rFonts w:hint="eastAsia" w:ascii="仿宋_GB2312" w:hAnsi="仿宋" w:eastAsia="仿宋_GB2312" w:cs="仿宋_GB2312"/>
          <w:b/>
          <w:bCs/>
          <w:color w:val="auto"/>
          <w:sz w:val="24"/>
          <w:szCs w:val="21"/>
          <w:highlight w:val="none"/>
        </w:rPr>
        <w:t xml:space="preserve">      报价单位：元</w:t>
      </w:r>
    </w:p>
    <w:tbl>
      <w:tblPr>
        <w:tblStyle w:val="25"/>
        <w:tblW w:w="9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2043"/>
        <w:gridCol w:w="900"/>
        <w:gridCol w:w="849"/>
        <w:gridCol w:w="697"/>
        <w:gridCol w:w="780"/>
        <w:gridCol w:w="788"/>
        <w:gridCol w:w="788"/>
        <w:gridCol w:w="663"/>
        <w:gridCol w:w="669"/>
        <w:gridCol w:w="657"/>
      </w:tblGrid>
      <w:tr w14:paraId="12D6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660" w:type="dxa"/>
            <w:vAlign w:val="center"/>
          </w:tcPr>
          <w:p w14:paraId="29C8A07B">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序号</w:t>
            </w:r>
          </w:p>
        </w:tc>
        <w:tc>
          <w:tcPr>
            <w:tcW w:w="2043" w:type="dxa"/>
            <w:vAlign w:val="center"/>
          </w:tcPr>
          <w:p w14:paraId="44E91F42">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产品名称</w:t>
            </w:r>
          </w:p>
        </w:tc>
        <w:tc>
          <w:tcPr>
            <w:tcW w:w="900" w:type="dxa"/>
            <w:vAlign w:val="center"/>
          </w:tcPr>
          <w:p w14:paraId="5570164D">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品牌</w:t>
            </w:r>
          </w:p>
        </w:tc>
        <w:tc>
          <w:tcPr>
            <w:tcW w:w="849" w:type="dxa"/>
            <w:vAlign w:val="center"/>
          </w:tcPr>
          <w:p w14:paraId="33173BCD">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型号</w:t>
            </w:r>
          </w:p>
          <w:p w14:paraId="3BB51F66">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规格</w:t>
            </w:r>
          </w:p>
        </w:tc>
        <w:tc>
          <w:tcPr>
            <w:tcW w:w="697" w:type="dxa"/>
            <w:vAlign w:val="center"/>
          </w:tcPr>
          <w:p w14:paraId="0B3612EF">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数量</w:t>
            </w:r>
          </w:p>
        </w:tc>
        <w:tc>
          <w:tcPr>
            <w:tcW w:w="780" w:type="dxa"/>
            <w:vAlign w:val="center"/>
          </w:tcPr>
          <w:p w14:paraId="39677CE5">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单位</w:t>
            </w:r>
          </w:p>
        </w:tc>
        <w:tc>
          <w:tcPr>
            <w:tcW w:w="788" w:type="dxa"/>
            <w:vAlign w:val="center"/>
          </w:tcPr>
          <w:p w14:paraId="1DBAC8FB">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原产地</w:t>
            </w:r>
          </w:p>
        </w:tc>
        <w:tc>
          <w:tcPr>
            <w:tcW w:w="788" w:type="dxa"/>
            <w:vAlign w:val="center"/>
          </w:tcPr>
          <w:p w14:paraId="458966EE">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制造商名称</w:t>
            </w:r>
          </w:p>
        </w:tc>
        <w:tc>
          <w:tcPr>
            <w:tcW w:w="663" w:type="dxa"/>
            <w:vAlign w:val="center"/>
          </w:tcPr>
          <w:p w14:paraId="5D299D46">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单价（元）</w:t>
            </w:r>
          </w:p>
        </w:tc>
        <w:tc>
          <w:tcPr>
            <w:tcW w:w="669" w:type="dxa"/>
            <w:vAlign w:val="center"/>
          </w:tcPr>
          <w:p w14:paraId="760EDF9F">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单项总价（元）</w:t>
            </w:r>
          </w:p>
        </w:tc>
        <w:tc>
          <w:tcPr>
            <w:tcW w:w="657" w:type="dxa"/>
            <w:vAlign w:val="center"/>
          </w:tcPr>
          <w:p w14:paraId="09703C6D">
            <w:pPr>
              <w:adjustRightInd w:val="0"/>
              <w:snapToGrid w:val="0"/>
              <w:ind w:left="-96" w:leftChars="-46" w:right="-63" w:rightChars="-30"/>
              <w:jc w:val="center"/>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备注</w:t>
            </w:r>
          </w:p>
        </w:tc>
      </w:tr>
      <w:tr w14:paraId="2F754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1EE360D2">
            <w:pPr>
              <w:widowControl/>
              <w:jc w:val="center"/>
              <w:rPr>
                <w:rFonts w:hint="default" w:ascii="仿宋_GB2312" w:hAnsi="仿宋" w:eastAsia="仿宋_GB2312" w:cs="仿宋_GB2312"/>
                <w:color w:val="auto"/>
                <w:sz w:val="21"/>
                <w:szCs w:val="21"/>
                <w:highlight w:val="none"/>
                <w:lang w:val="en-US" w:eastAsia="zh-CN"/>
              </w:rPr>
            </w:pPr>
            <w:r>
              <w:rPr>
                <w:rFonts w:hint="eastAsia" w:ascii="仿宋_GB2312" w:hAnsi="仿宋_GB2312" w:eastAsia="仿宋_GB2312" w:cs="仿宋_GB2312"/>
                <w:color w:val="auto"/>
                <w:kern w:val="0"/>
                <w:sz w:val="24"/>
                <w:szCs w:val="24"/>
                <w:highlight w:val="none"/>
                <w:lang w:val="en-US" w:eastAsia="zh-CN"/>
              </w:rPr>
              <w:t>1</w:t>
            </w:r>
          </w:p>
        </w:tc>
        <w:tc>
          <w:tcPr>
            <w:tcW w:w="2043" w:type="dxa"/>
            <w:shd w:val="clear" w:color="auto" w:fill="auto"/>
            <w:vAlign w:val="center"/>
          </w:tcPr>
          <w:p w14:paraId="352E8199">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智慧语言实验室软件</w:t>
            </w:r>
          </w:p>
        </w:tc>
        <w:tc>
          <w:tcPr>
            <w:tcW w:w="900" w:type="dxa"/>
            <w:vAlign w:val="center"/>
          </w:tcPr>
          <w:p w14:paraId="2B63559A">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1965A167">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774358AA">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2303582F">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套</w:t>
            </w:r>
          </w:p>
        </w:tc>
        <w:tc>
          <w:tcPr>
            <w:tcW w:w="788" w:type="dxa"/>
            <w:vAlign w:val="center"/>
          </w:tcPr>
          <w:p w14:paraId="7CEE2685">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27FD868D">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397418A0">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052C91A5">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64C21B25">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0807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466E9AC5">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2</w:t>
            </w:r>
          </w:p>
        </w:tc>
        <w:tc>
          <w:tcPr>
            <w:tcW w:w="2043" w:type="dxa"/>
            <w:shd w:val="clear" w:color="auto" w:fill="auto"/>
            <w:vAlign w:val="center"/>
          </w:tcPr>
          <w:p w14:paraId="29A90603">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智慧外语教学平台</w:t>
            </w:r>
          </w:p>
        </w:tc>
        <w:tc>
          <w:tcPr>
            <w:tcW w:w="900" w:type="dxa"/>
            <w:vAlign w:val="center"/>
          </w:tcPr>
          <w:p w14:paraId="52209553">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2B39E33B">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019A6DCE">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223CB9EF">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套</w:t>
            </w:r>
          </w:p>
        </w:tc>
        <w:tc>
          <w:tcPr>
            <w:tcW w:w="788" w:type="dxa"/>
            <w:vAlign w:val="center"/>
          </w:tcPr>
          <w:p w14:paraId="1E2D3946">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58383ECA">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15A4FF23">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574C72AA">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6FDA95CD">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74460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3E68A450">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3</w:t>
            </w:r>
          </w:p>
        </w:tc>
        <w:tc>
          <w:tcPr>
            <w:tcW w:w="2043" w:type="dxa"/>
            <w:shd w:val="clear" w:color="auto" w:fill="auto"/>
            <w:vAlign w:val="center"/>
          </w:tcPr>
          <w:p w14:paraId="74313323">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语音终端管理主机</w:t>
            </w:r>
          </w:p>
        </w:tc>
        <w:tc>
          <w:tcPr>
            <w:tcW w:w="900" w:type="dxa"/>
            <w:vAlign w:val="center"/>
          </w:tcPr>
          <w:p w14:paraId="3CAC93A4">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4B1C0B5B">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5A3099F8">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19310F1D">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788" w:type="dxa"/>
            <w:vAlign w:val="center"/>
          </w:tcPr>
          <w:p w14:paraId="6E8D38A9">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50594591">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7643E55E">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632641B5">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0AB42465">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5D98D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58C143DF">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4</w:t>
            </w:r>
          </w:p>
        </w:tc>
        <w:tc>
          <w:tcPr>
            <w:tcW w:w="2043" w:type="dxa"/>
            <w:shd w:val="clear" w:color="auto" w:fill="auto"/>
            <w:vAlign w:val="center"/>
          </w:tcPr>
          <w:p w14:paraId="3DDAC2A2">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教师电脑</w:t>
            </w:r>
          </w:p>
        </w:tc>
        <w:tc>
          <w:tcPr>
            <w:tcW w:w="900" w:type="dxa"/>
            <w:vAlign w:val="center"/>
          </w:tcPr>
          <w:p w14:paraId="28AC6D06">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5B2E6C5D">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56C79911">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40A2EA29">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788" w:type="dxa"/>
            <w:vAlign w:val="center"/>
          </w:tcPr>
          <w:p w14:paraId="5A0512B3">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03354348">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403387FE">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0B78629B">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249C465C">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71BB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07B1703D">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5</w:t>
            </w:r>
          </w:p>
        </w:tc>
        <w:tc>
          <w:tcPr>
            <w:tcW w:w="2043" w:type="dxa"/>
            <w:shd w:val="clear" w:color="auto" w:fill="auto"/>
            <w:vAlign w:val="center"/>
          </w:tcPr>
          <w:p w14:paraId="2C82C283">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学生语音终端</w:t>
            </w:r>
          </w:p>
        </w:tc>
        <w:tc>
          <w:tcPr>
            <w:tcW w:w="900" w:type="dxa"/>
            <w:vAlign w:val="center"/>
          </w:tcPr>
          <w:p w14:paraId="7C5CC00F">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72FAD6D4">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373E3FEF">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70</w:t>
            </w:r>
          </w:p>
        </w:tc>
        <w:tc>
          <w:tcPr>
            <w:tcW w:w="780" w:type="dxa"/>
            <w:shd w:val="clear" w:color="auto" w:fill="auto"/>
            <w:vAlign w:val="center"/>
          </w:tcPr>
          <w:p w14:paraId="0EE7D14C">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788" w:type="dxa"/>
            <w:vAlign w:val="center"/>
          </w:tcPr>
          <w:p w14:paraId="02032C11">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6CE76A16">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3B9DAEEE">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2914A71C">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705DDB9A">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6562F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19FE1EBC">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6</w:t>
            </w:r>
          </w:p>
        </w:tc>
        <w:tc>
          <w:tcPr>
            <w:tcW w:w="2043" w:type="dxa"/>
            <w:shd w:val="clear" w:color="auto" w:fill="auto"/>
            <w:vAlign w:val="center"/>
          </w:tcPr>
          <w:p w14:paraId="1155F3B6">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学生备用终端</w:t>
            </w:r>
          </w:p>
        </w:tc>
        <w:tc>
          <w:tcPr>
            <w:tcW w:w="900" w:type="dxa"/>
            <w:vAlign w:val="center"/>
          </w:tcPr>
          <w:p w14:paraId="70A30E64">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10C5FCB5">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5FF78843">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8</w:t>
            </w:r>
          </w:p>
        </w:tc>
        <w:tc>
          <w:tcPr>
            <w:tcW w:w="780" w:type="dxa"/>
            <w:shd w:val="clear" w:color="auto" w:fill="auto"/>
            <w:vAlign w:val="center"/>
          </w:tcPr>
          <w:p w14:paraId="123C1A8E">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788" w:type="dxa"/>
            <w:vAlign w:val="center"/>
          </w:tcPr>
          <w:p w14:paraId="16C00D89">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75576DF4">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1DA347F5">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04AA815E">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6DC809D9">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7DD6B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242213FA">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7</w:t>
            </w:r>
          </w:p>
        </w:tc>
        <w:tc>
          <w:tcPr>
            <w:tcW w:w="2043" w:type="dxa"/>
            <w:shd w:val="clear" w:color="auto" w:fill="auto"/>
            <w:vAlign w:val="center"/>
          </w:tcPr>
          <w:p w14:paraId="7E80CCD2">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学生显示器</w:t>
            </w:r>
          </w:p>
        </w:tc>
        <w:tc>
          <w:tcPr>
            <w:tcW w:w="900" w:type="dxa"/>
            <w:vAlign w:val="center"/>
          </w:tcPr>
          <w:p w14:paraId="45B568E6">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14E16324">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5138E7E6">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70</w:t>
            </w:r>
          </w:p>
        </w:tc>
        <w:tc>
          <w:tcPr>
            <w:tcW w:w="780" w:type="dxa"/>
            <w:shd w:val="clear" w:color="auto" w:fill="auto"/>
            <w:vAlign w:val="center"/>
          </w:tcPr>
          <w:p w14:paraId="3A2C351A">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788" w:type="dxa"/>
            <w:vAlign w:val="center"/>
          </w:tcPr>
          <w:p w14:paraId="075E3C10">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6B57D5B3">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78C8DC4E">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517391A2">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0FAF7227">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5CCA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4E652B80">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8</w:t>
            </w:r>
          </w:p>
        </w:tc>
        <w:tc>
          <w:tcPr>
            <w:tcW w:w="2043" w:type="dxa"/>
            <w:shd w:val="clear" w:color="auto" w:fill="auto"/>
            <w:vAlign w:val="center"/>
          </w:tcPr>
          <w:p w14:paraId="40B5AC09">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功放</w:t>
            </w:r>
          </w:p>
        </w:tc>
        <w:tc>
          <w:tcPr>
            <w:tcW w:w="900" w:type="dxa"/>
            <w:vAlign w:val="center"/>
          </w:tcPr>
          <w:p w14:paraId="14409D5F">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6A1C1FCC">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3427C867">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17366026">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组</w:t>
            </w:r>
          </w:p>
        </w:tc>
        <w:tc>
          <w:tcPr>
            <w:tcW w:w="788" w:type="dxa"/>
            <w:vAlign w:val="center"/>
          </w:tcPr>
          <w:p w14:paraId="47723E9E">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3AE6477B">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48F2C8CA">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765EEE94">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163479AA">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33E1F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67B9407E">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9</w:t>
            </w:r>
          </w:p>
        </w:tc>
        <w:tc>
          <w:tcPr>
            <w:tcW w:w="2043" w:type="dxa"/>
            <w:shd w:val="clear" w:color="auto" w:fill="auto"/>
            <w:vAlign w:val="center"/>
          </w:tcPr>
          <w:p w14:paraId="4ED54D20">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音箱</w:t>
            </w:r>
          </w:p>
        </w:tc>
        <w:tc>
          <w:tcPr>
            <w:tcW w:w="900" w:type="dxa"/>
            <w:vAlign w:val="center"/>
          </w:tcPr>
          <w:p w14:paraId="24D1D3D6">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4E997EF0">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2EF8F31E">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1DF6508A">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对</w:t>
            </w:r>
          </w:p>
        </w:tc>
        <w:tc>
          <w:tcPr>
            <w:tcW w:w="788" w:type="dxa"/>
            <w:vAlign w:val="center"/>
          </w:tcPr>
          <w:p w14:paraId="7E979C46">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4019B550">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20257571">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453BC7C5">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78D34BAE">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1C84A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351B8079">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10</w:t>
            </w:r>
          </w:p>
        </w:tc>
        <w:tc>
          <w:tcPr>
            <w:tcW w:w="2043" w:type="dxa"/>
            <w:shd w:val="clear" w:color="auto" w:fill="auto"/>
            <w:vAlign w:val="center"/>
          </w:tcPr>
          <w:p w14:paraId="5C0E8A58">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话筒</w:t>
            </w:r>
          </w:p>
        </w:tc>
        <w:tc>
          <w:tcPr>
            <w:tcW w:w="900" w:type="dxa"/>
            <w:vAlign w:val="center"/>
          </w:tcPr>
          <w:p w14:paraId="27D15E59">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7BB5D1F0">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73212926">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098ADBFB">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个</w:t>
            </w:r>
          </w:p>
        </w:tc>
        <w:tc>
          <w:tcPr>
            <w:tcW w:w="788" w:type="dxa"/>
            <w:vAlign w:val="center"/>
          </w:tcPr>
          <w:p w14:paraId="5C61338F">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35B7F9E4">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44410725">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174DDDE8">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27D82C5C">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23244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24DCCDB8">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11</w:t>
            </w:r>
          </w:p>
        </w:tc>
        <w:tc>
          <w:tcPr>
            <w:tcW w:w="2043" w:type="dxa"/>
            <w:shd w:val="clear" w:color="auto" w:fill="auto"/>
            <w:vAlign w:val="center"/>
          </w:tcPr>
          <w:p w14:paraId="2C6E52A1">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教师桌</w:t>
            </w:r>
          </w:p>
        </w:tc>
        <w:tc>
          <w:tcPr>
            <w:tcW w:w="900" w:type="dxa"/>
            <w:vAlign w:val="center"/>
          </w:tcPr>
          <w:p w14:paraId="5ADA30BB">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74FBF882">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63666636">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4A576EC3">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张</w:t>
            </w:r>
          </w:p>
        </w:tc>
        <w:tc>
          <w:tcPr>
            <w:tcW w:w="788" w:type="dxa"/>
            <w:vAlign w:val="center"/>
          </w:tcPr>
          <w:p w14:paraId="12B516D7">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1945A968">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684927C0">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36DC7C11">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1910B462">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3F89D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129C616C">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12</w:t>
            </w:r>
          </w:p>
        </w:tc>
        <w:tc>
          <w:tcPr>
            <w:tcW w:w="2043" w:type="dxa"/>
            <w:shd w:val="clear" w:color="auto" w:fill="auto"/>
            <w:vAlign w:val="center"/>
          </w:tcPr>
          <w:p w14:paraId="4107BDB9">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学生语音桌</w:t>
            </w:r>
          </w:p>
        </w:tc>
        <w:tc>
          <w:tcPr>
            <w:tcW w:w="900" w:type="dxa"/>
            <w:vAlign w:val="center"/>
          </w:tcPr>
          <w:p w14:paraId="16028936">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4514CED2">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12E8DDA0">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35</w:t>
            </w:r>
          </w:p>
        </w:tc>
        <w:tc>
          <w:tcPr>
            <w:tcW w:w="780" w:type="dxa"/>
            <w:shd w:val="clear" w:color="auto" w:fill="auto"/>
            <w:vAlign w:val="center"/>
          </w:tcPr>
          <w:p w14:paraId="1FE23022">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套</w:t>
            </w:r>
          </w:p>
        </w:tc>
        <w:tc>
          <w:tcPr>
            <w:tcW w:w="788" w:type="dxa"/>
            <w:vAlign w:val="center"/>
          </w:tcPr>
          <w:p w14:paraId="71FCEAB6">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1C34FD79">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1F5E53ED">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271C43F9">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5495186D">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78EC6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58C2C0F6">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13</w:t>
            </w:r>
          </w:p>
        </w:tc>
        <w:tc>
          <w:tcPr>
            <w:tcW w:w="2043" w:type="dxa"/>
            <w:shd w:val="clear" w:color="auto" w:fill="auto"/>
            <w:vAlign w:val="center"/>
          </w:tcPr>
          <w:p w14:paraId="559781F7">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交换机</w:t>
            </w:r>
          </w:p>
        </w:tc>
        <w:tc>
          <w:tcPr>
            <w:tcW w:w="900" w:type="dxa"/>
            <w:vAlign w:val="center"/>
          </w:tcPr>
          <w:p w14:paraId="0C97099F">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1B39340D">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2CC215AD">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w:t>
            </w:r>
          </w:p>
        </w:tc>
        <w:tc>
          <w:tcPr>
            <w:tcW w:w="780" w:type="dxa"/>
            <w:shd w:val="clear" w:color="auto" w:fill="auto"/>
            <w:vAlign w:val="center"/>
          </w:tcPr>
          <w:p w14:paraId="3F6C7663">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788" w:type="dxa"/>
            <w:vAlign w:val="center"/>
          </w:tcPr>
          <w:p w14:paraId="5E2337F9">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2B2DADFC">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7539F46C">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409312CE">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402CC6CD">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25F82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609E135F">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rPr>
              <w:t>1</w:t>
            </w:r>
            <w:r>
              <w:rPr>
                <w:rFonts w:hint="eastAsia" w:ascii="仿宋_GB2312" w:hAnsi="仿宋_GB2312" w:eastAsia="仿宋_GB2312" w:cs="仿宋_GB2312"/>
                <w:color w:val="auto"/>
                <w:kern w:val="0"/>
                <w:sz w:val="24"/>
                <w:szCs w:val="24"/>
                <w:highlight w:val="none"/>
                <w:lang w:val="en-US" w:eastAsia="zh-CN"/>
              </w:rPr>
              <w:t>4</w:t>
            </w:r>
          </w:p>
        </w:tc>
        <w:tc>
          <w:tcPr>
            <w:tcW w:w="2043" w:type="dxa"/>
            <w:vAlign w:val="center"/>
          </w:tcPr>
          <w:p w14:paraId="0725F40A">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机柜</w:t>
            </w:r>
          </w:p>
        </w:tc>
        <w:tc>
          <w:tcPr>
            <w:tcW w:w="900" w:type="dxa"/>
            <w:vAlign w:val="center"/>
          </w:tcPr>
          <w:p w14:paraId="1F0545D4">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1CB36248">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56C22268">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5A0AA0CE">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个</w:t>
            </w:r>
          </w:p>
        </w:tc>
        <w:tc>
          <w:tcPr>
            <w:tcW w:w="788" w:type="dxa"/>
            <w:vAlign w:val="center"/>
          </w:tcPr>
          <w:p w14:paraId="7F5DF92C">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60B5012B">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5C853E9F">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0DC60D59">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7D558BA0">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3C6A6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33E9DEC8">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15</w:t>
            </w:r>
          </w:p>
        </w:tc>
        <w:tc>
          <w:tcPr>
            <w:tcW w:w="2043" w:type="dxa"/>
            <w:shd w:val="clear" w:color="auto" w:fill="auto"/>
            <w:vAlign w:val="center"/>
          </w:tcPr>
          <w:p w14:paraId="43BC084F">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智慧课堂</w:t>
            </w:r>
          </w:p>
          <w:p w14:paraId="3B17AD79">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教学微课软件</w:t>
            </w:r>
          </w:p>
        </w:tc>
        <w:tc>
          <w:tcPr>
            <w:tcW w:w="900" w:type="dxa"/>
            <w:vAlign w:val="center"/>
          </w:tcPr>
          <w:p w14:paraId="5F8DC83F">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582FFEBF">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10F217B3">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780" w:type="dxa"/>
            <w:shd w:val="clear" w:color="auto" w:fill="auto"/>
            <w:vAlign w:val="center"/>
          </w:tcPr>
          <w:p w14:paraId="653ED698">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套</w:t>
            </w:r>
          </w:p>
        </w:tc>
        <w:tc>
          <w:tcPr>
            <w:tcW w:w="788" w:type="dxa"/>
            <w:vAlign w:val="center"/>
          </w:tcPr>
          <w:p w14:paraId="1210922B">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4F224E1A">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0AA73211">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05FA1AFC">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2BE6A14D">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3489B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0" w:type="dxa"/>
            <w:vAlign w:val="center"/>
          </w:tcPr>
          <w:p w14:paraId="56978BF3">
            <w:pPr>
              <w:widowControl/>
              <w:jc w:val="center"/>
              <w:rPr>
                <w:rFonts w:hint="default" w:ascii="仿宋_GB2312" w:hAnsi="仿宋_GB2312" w:eastAsia="仿宋_GB2312" w:cs="仿宋_GB2312"/>
                <w:i w:val="0"/>
                <w:iCs w:val="0"/>
                <w:color w:val="auto"/>
                <w:kern w:val="0"/>
                <w:sz w:val="21"/>
                <w:szCs w:val="21"/>
                <w:highlight w:val="none"/>
                <w:u w:val="none"/>
                <w:lang w:val="en-US" w:eastAsia="zh-CN" w:bidi="ar"/>
              </w:rPr>
            </w:pPr>
            <w:r>
              <w:rPr>
                <w:rFonts w:hint="eastAsia" w:ascii="仿宋_GB2312" w:hAnsi="仿宋_GB2312" w:eastAsia="仿宋_GB2312" w:cs="仿宋_GB2312"/>
                <w:color w:val="auto"/>
                <w:kern w:val="0"/>
                <w:sz w:val="24"/>
                <w:szCs w:val="24"/>
                <w:highlight w:val="none"/>
                <w:lang w:val="en-US" w:eastAsia="zh-CN"/>
              </w:rPr>
              <w:t>16</w:t>
            </w:r>
          </w:p>
        </w:tc>
        <w:tc>
          <w:tcPr>
            <w:tcW w:w="2043" w:type="dxa"/>
            <w:shd w:val="clear" w:color="auto" w:fill="auto"/>
            <w:vAlign w:val="center"/>
          </w:tcPr>
          <w:p w14:paraId="031F7109">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空调</w:t>
            </w:r>
          </w:p>
        </w:tc>
        <w:tc>
          <w:tcPr>
            <w:tcW w:w="900" w:type="dxa"/>
            <w:vAlign w:val="center"/>
          </w:tcPr>
          <w:p w14:paraId="550C766B">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849" w:type="dxa"/>
            <w:vAlign w:val="center"/>
          </w:tcPr>
          <w:p w14:paraId="4BB319B4">
            <w:pPr>
              <w:snapToGrid w:val="0"/>
              <w:spacing w:line="400" w:lineRule="exact"/>
              <w:jc w:val="center"/>
              <w:rPr>
                <w:rFonts w:hint="eastAsia" w:ascii="仿宋_GB2312" w:hAnsi="仿宋" w:eastAsia="仿宋_GB2312" w:cs="仿宋_GB2312"/>
                <w:color w:val="auto"/>
                <w:kern w:val="2"/>
                <w:sz w:val="21"/>
                <w:szCs w:val="21"/>
                <w:highlight w:val="none"/>
                <w:lang w:val="en-US" w:eastAsia="zh-CN" w:bidi="ar-SA"/>
              </w:rPr>
            </w:pPr>
          </w:p>
        </w:tc>
        <w:tc>
          <w:tcPr>
            <w:tcW w:w="697" w:type="dxa"/>
            <w:shd w:val="clear" w:color="auto" w:fill="auto"/>
            <w:vAlign w:val="center"/>
          </w:tcPr>
          <w:p w14:paraId="4AB99A4A">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w:t>
            </w:r>
          </w:p>
        </w:tc>
        <w:tc>
          <w:tcPr>
            <w:tcW w:w="780" w:type="dxa"/>
            <w:shd w:val="clear" w:color="auto" w:fill="auto"/>
            <w:vAlign w:val="center"/>
          </w:tcPr>
          <w:p w14:paraId="2140B22F">
            <w:pPr>
              <w:widowControl/>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788" w:type="dxa"/>
            <w:vAlign w:val="center"/>
          </w:tcPr>
          <w:p w14:paraId="133DCFC2">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p>
        </w:tc>
        <w:tc>
          <w:tcPr>
            <w:tcW w:w="788" w:type="dxa"/>
            <w:vAlign w:val="center"/>
          </w:tcPr>
          <w:p w14:paraId="72BE5CE5">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3" w:type="dxa"/>
            <w:vAlign w:val="center"/>
          </w:tcPr>
          <w:p w14:paraId="60EABABF">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69" w:type="dxa"/>
            <w:vAlign w:val="center"/>
          </w:tcPr>
          <w:p w14:paraId="2996E51D">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c>
          <w:tcPr>
            <w:tcW w:w="657" w:type="dxa"/>
            <w:vAlign w:val="center"/>
          </w:tcPr>
          <w:p w14:paraId="64A906B7">
            <w:pPr>
              <w:keepNext w:val="0"/>
              <w:keepLines w:val="0"/>
              <w:pageBreakBefore w:val="0"/>
              <w:widowControl w:val="0"/>
              <w:kinsoku/>
              <w:wordWrap/>
              <w:overflowPunct/>
              <w:topLinePunct w:val="0"/>
              <w:autoSpaceDE/>
              <w:autoSpaceDN/>
              <w:bidi w:val="0"/>
              <w:adjustRightInd w:val="0"/>
              <w:snapToGrid w:val="0"/>
              <w:ind w:left="-96" w:leftChars="-46" w:right="-63" w:rightChars="-30"/>
              <w:jc w:val="center"/>
              <w:textAlignment w:val="auto"/>
              <w:rPr>
                <w:rFonts w:ascii="仿宋_GB2312" w:hAnsi="仿宋" w:eastAsia="仿宋_GB2312" w:cs="仿宋_GB2312"/>
                <w:color w:val="auto"/>
                <w:sz w:val="24"/>
                <w:szCs w:val="21"/>
                <w:highlight w:val="none"/>
              </w:rPr>
            </w:pPr>
          </w:p>
        </w:tc>
      </w:tr>
      <w:tr w14:paraId="6B65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494" w:type="dxa"/>
            <w:gridSpan w:val="11"/>
            <w:vAlign w:val="center"/>
          </w:tcPr>
          <w:p w14:paraId="34063C7C">
            <w:pPr>
              <w:keepNext w:val="0"/>
              <w:keepLines w:val="0"/>
              <w:pageBreakBefore w:val="0"/>
              <w:widowControl w:val="0"/>
              <w:kinsoku/>
              <w:wordWrap/>
              <w:overflowPunct/>
              <w:topLinePunct w:val="0"/>
              <w:autoSpaceDE/>
              <w:autoSpaceDN/>
              <w:bidi w:val="0"/>
              <w:adjustRightInd w:val="0"/>
              <w:snapToGrid w:val="0"/>
              <w:ind w:left="-96" w:leftChars="-46" w:right="-63" w:rightChars="-30"/>
              <w:jc w:val="left"/>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b/>
                <w:bCs/>
                <w:color w:val="auto"/>
                <w:sz w:val="24"/>
                <w:szCs w:val="21"/>
                <w:highlight w:val="none"/>
                <w:lang w:val="en-US" w:eastAsia="zh-CN"/>
              </w:rPr>
              <w:t>总价（元）：</w:t>
            </w:r>
          </w:p>
        </w:tc>
      </w:tr>
    </w:tbl>
    <w:p w14:paraId="1FBEF357">
      <w:pPr>
        <w:adjustRightInd w:val="0"/>
        <w:snapToGrid w:val="0"/>
        <w:spacing w:before="159" w:beforeLines="50" w:line="360" w:lineRule="auto"/>
        <w:ind w:right="105" w:rightChars="50"/>
        <w:jc w:val="left"/>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szCs w:val="21"/>
          <w:highlight w:val="none"/>
        </w:rPr>
        <w:t>注：此表中，总价应和开标一览表的投标总价相一致。</w:t>
      </w:r>
    </w:p>
    <w:p w14:paraId="61C95AFE">
      <w:pPr>
        <w:adjustRightInd w:val="0"/>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1518305B">
      <w:pPr>
        <w:adjustRightInd w:val="0"/>
        <w:snapToGrid w:val="0"/>
        <w:spacing w:line="36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540093C1">
      <w:pPr>
        <w:adjustRightInd w:val="0"/>
        <w:snapToGrid w:val="0"/>
        <w:spacing w:line="360" w:lineRule="auto"/>
        <w:ind w:right="105" w:rightChars="50"/>
        <w:jc w:val="left"/>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57B1465C">
      <w:pPr>
        <w:adjustRightInd w:val="0"/>
        <w:snapToGrid w:val="0"/>
        <w:spacing w:line="360" w:lineRule="auto"/>
        <w:ind w:right="105" w:rightChars="50"/>
        <w:jc w:val="left"/>
        <w:rPr>
          <w:rFonts w:ascii="仿宋_GB2312" w:hAnsi="仿宋" w:eastAsia="仿宋_GB2312" w:cs="仿宋_GB2312"/>
          <w:color w:val="auto"/>
          <w:sz w:val="24"/>
          <w:highlight w:val="none"/>
          <w:u w:val="single"/>
        </w:rPr>
        <w:sectPr>
          <w:pgSz w:w="11906" w:h="16838"/>
          <w:pgMar w:top="1468" w:right="1803" w:bottom="1418" w:left="1803" w:header="851" w:footer="1024" w:gutter="0"/>
          <w:pgBorders>
            <w:top w:val="none" w:sz="0" w:space="0"/>
            <w:left w:val="none" w:sz="0" w:space="0"/>
            <w:bottom w:val="none" w:sz="0" w:space="0"/>
            <w:right w:val="none" w:sz="0" w:space="0"/>
          </w:pgBorders>
          <w:cols w:space="720" w:num="1"/>
          <w:docGrid w:type="linesAndChars" w:linePitch="319" w:charSpace="0"/>
        </w:sectPr>
      </w:pPr>
    </w:p>
    <w:p w14:paraId="453FB1F1">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t>格式12</w:t>
      </w:r>
      <w:r>
        <w:rPr>
          <w:rFonts w:ascii="仿宋_GB2312" w:hAnsi="仿宋" w:eastAsia="仿宋_GB2312" w:cs="仿宋_GB2312"/>
          <w:color w:val="auto"/>
          <w:szCs w:val="28"/>
          <w:highlight w:val="none"/>
        </w:rPr>
        <w:t>-</w:t>
      </w:r>
      <w:r>
        <w:rPr>
          <w:rFonts w:hint="eastAsia" w:ascii="仿宋_GB2312" w:hAnsi="仿宋" w:eastAsia="仿宋_GB2312" w:cs="仿宋_GB2312"/>
          <w:color w:val="auto"/>
          <w:szCs w:val="28"/>
          <w:highlight w:val="none"/>
        </w:rPr>
        <w:t>1</w:t>
      </w:r>
    </w:p>
    <w:p w14:paraId="61EE9A14">
      <w:pPr>
        <w:spacing w:before="159" w:beforeLines="50" w:after="159" w:afterLines="50" w:line="360" w:lineRule="auto"/>
        <w:ind w:right="-21" w:rightChars="-10"/>
        <w:jc w:val="center"/>
        <w:rPr>
          <w:rFonts w:hint="default" w:ascii="方正小标宋简体" w:hAnsi="仿宋_GB2312" w:eastAsia="方正小标宋简体" w:cs="仿宋_GB2312"/>
          <w:color w:val="auto"/>
          <w:sz w:val="32"/>
          <w:szCs w:val="32"/>
          <w:highlight w:val="none"/>
          <w:lang w:val="en-US" w:eastAsia="zh-CN"/>
        </w:rPr>
      </w:pPr>
      <w:r>
        <w:rPr>
          <w:rFonts w:hint="eastAsia" w:ascii="方正小标宋简体" w:hAnsi="仿宋_GB2312" w:eastAsia="方正小标宋简体" w:cs="仿宋_GB2312"/>
          <w:color w:val="auto"/>
          <w:sz w:val="32"/>
          <w:szCs w:val="32"/>
          <w:highlight w:val="none"/>
        </w:rPr>
        <w:t>获得节能认证产品部分报价表</w:t>
      </w:r>
    </w:p>
    <w:p w14:paraId="2895E62A">
      <w:pPr>
        <w:adjustRightInd w:val="0"/>
        <w:snapToGrid w:val="0"/>
        <w:spacing w:line="360" w:lineRule="auto"/>
        <w:ind w:right="105" w:rightChars="50"/>
        <w:jc w:val="left"/>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包号：</w:t>
      </w:r>
      <w:r>
        <w:rPr>
          <w:rFonts w:hint="eastAsia" w:ascii="仿宋_GB2312" w:hAnsi="仿宋" w:eastAsia="仿宋_GB2312" w:cs="仿宋_GB2312"/>
          <w:b/>
          <w:bCs/>
          <w:color w:val="auto"/>
          <w:sz w:val="24"/>
          <w:szCs w:val="21"/>
          <w:highlight w:val="none"/>
          <w:lang w:val="en-US" w:eastAsia="zh-CN"/>
        </w:rPr>
        <w:t xml:space="preserve">001 </w:t>
      </w:r>
      <w:r>
        <w:rPr>
          <w:rFonts w:hint="eastAsia" w:ascii="仿宋_GB2312" w:hAnsi="仿宋" w:eastAsia="仿宋_GB2312" w:cs="仿宋_GB2312"/>
          <w:b/>
          <w:bCs/>
          <w:color w:val="auto"/>
          <w:sz w:val="24"/>
          <w:szCs w:val="21"/>
          <w:highlight w:val="none"/>
        </w:rPr>
        <w:t xml:space="preserve">                                 </w:t>
      </w:r>
      <w:r>
        <w:rPr>
          <w:rFonts w:ascii="仿宋_GB2312" w:hAnsi="仿宋" w:eastAsia="仿宋_GB2312" w:cs="仿宋_GB2312"/>
          <w:b/>
          <w:bCs/>
          <w:color w:val="auto"/>
          <w:sz w:val="24"/>
          <w:szCs w:val="21"/>
          <w:highlight w:val="none"/>
        </w:rPr>
        <w:t xml:space="preserve">  </w:t>
      </w:r>
      <w:r>
        <w:rPr>
          <w:rFonts w:hint="eastAsia" w:ascii="仿宋_GB2312" w:hAnsi="仿宋" w:eastAsia="仿宋_GB2312" w:cs="仿宋_GB2312"/>
          <w:b/>
          <w:bCs/>
          <w:color w:val="auto"/>
          <w:sz w:val="24"/>
          <w:szCs w:val="21"/>
          <w:highlight w:val="none"/>
        </w:rPr>
        <w:t xml:space="preserve">            报价单位：元</w:t>
      </w:r>
    </w:p>
    <w:tbl>
      <w:tblPr>
        <w:tblStyle w:val="2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702"/>
        <w:gridCol w:w="885"/>
        <w:gridCol w:w="837"/>
        <w:gridCol w:w="804"/>
        <w:gridCol w:w="804"/>
        <w:gridCol w:w="677"/>
        <w:gridCol w:w="532"/>
        <w:gridCol w:w="822"/>
        <w:gridCol w:w="879"/>
        <w:gridCol w:w="609"/>
      </w:tblGrid>
      <w:tr w14:paraId="7D093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58" w:type="dxa"/>
            <w:vAlign w:val="center"/>
          </w:tcPr>
          <w:p w14:paraId="1595A8F4">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序号</w:t>
            </w:r>
          </w:p>
        </w:tc>
        <w:tc>
          <w:tcPr>
            <w:tcW w:w="1702" w:type="dxa"/>
            <w:vAlign w:val="center"/>
          </w:tcPr>
          <w:p w14:paraId="5512A88E">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产品名称</w:t>
            </w:r>
          </w:p>
        </w:tc>
        <w:tc>
          <w:tcPr>
            <w:tcW w:w="885" w:type="dxa"/>
            <w:vAlign w:val="center"/>
          </w:tcPr>
          <w:p w14:paraId="55955E23">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品牌</w:t>
            </w:r>
          </w:p>
        </w:tc>
        <w:tc>
          <w:tcPr>
            <w:tcW w:w="837" w:type="dxa"/>
            <w:vAlign w:val="center"/>
          </w:tcPr>
          <w:p w14:paraId="06B8AEB3">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型号</w:t>
            </w:r>
          </w:p>
          <w:p w14:paraId="485206A9">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规格</w:t>
            </w:r>
          </w:p>
        </w:tc>
        <w:tc>
          <w:tcPr>
            <w:tcW w:w="804" w:type="dxa"/>
            <w:vAlign w:val="center"/>
          </w:tcPr>
          <w:p w14:paraId="7E8DCEEC">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制造商名称</w:t>
            </w:r>
          </w:p>
        </w:tc>
        <w:tc>
          <w:tcPr>
            <w:tcW w:w="804" w:type="dxa"/>
            <w:vAlign w:val="center"/>
          </w:tcPr>
          <w:p w14:paraId="715DB602">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认证机构名称</w:t>
            </w:r>
          </w:p>
        </w:tc>
        <w:tc>
          <w:tcPr>
            <w:tcW w:w="677" w:type="dxa"/>
            <w:vAlign w:val="center"/>
          </w:tcPr>
          <w:p w14:paraId="371D0673">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数量</w:t>
            </w:r>
          </w:p>
        </w:tc>
        <w:tc>
          <w:tcPr>
            <w:tcW w:w="532" w:type="dxa"/>
            <w:vAlign w:val="center"/>
          </w:tcPr>
          <w:p w14:paraId="375C925C">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单位</w:t>
            </w:r>
          </w:p>
        </w:tc>
        <w:tc>
          <w:tcPr>
            <w:tcW w:w="822" w:type="dxa"/>
            <w:vAlign w:val="center"/>
          </w:tcPr>
          <w:p w14:paraId="5E03C2E7">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单价（元）</w:t>
            </w:r>
          </w:p>
        </w:tc>
        <w:tc>
          <w:tcPr>
            <w:tcW w:w="879" w:type="dxa"/>
            <w:vAlign w:val="center"/>
          </w:tcPr>
          <w:p w14:paraId="586774A2">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总价（元）</w:t>
            </w:r>
          </w:p>
        </w:tc>
        <w:tc>
          <w:tcPr>
            <w:tcW w:w="609" w:type="dxa"/>
            <w:vAlign w:val="center"/>
          </w:tcPr>
          <w:p w14:paraId="07484FAC">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备注</w:t>
            </w:r>
          </w:p>
        </w:tc>
      </w:tr>
      <w:tr w14:paraId="1E11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8" w:type="dxa"/>
            <w:vAlign w:val="center"/>
          </w:tcPr>
          <w:p w14:paraId="0B2A96C1">
            <w:pPr>
              <w:adjustRightInd w:val="0"/>
              <w:snapToGrid w:val="0"/>
              <w:ind w:left="-96" w:leftChars="-46" w:right="-63" w:rightChars="-30"/>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 w:eastAsia="仿宋_GB2312" w:cs="仿宋_GB2312"/>
                <w:color w:val="auto"/>
                <w:sz w:val="24"/>
                <w:szCs w:val="21"/>
                <w:highlight w:val="none"/>
              </w:rPr>
              <w:t>1</w:t>
            </w:r>
          </w:p>
        </w:tc>
        <w:tc>
          <w:tcPr>
            <w:tcW w:w="1702" w:type="dxa"/>
            <w:vAlign w:val="center"/>
          </w:tcPr>
          <w:p w14:paraId="7F25476B">
            <w:pPr>
              <w:widowControl/>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教师电脑</w:t>
            </w:r>
          </w:p>
        </w:tc>
        <w:tc>
          <w:tcPr>
            <w:tcW w:w="885" w:type="dxa"/>
            <w:vAlign w:val="center"/>
          </w:tcPr>
          <w:p w14:paraId="075010D8">
            <w:pPr>
              <w:adjustRightInd w:val="0"/>
              <w:snapToGrid w:val="0"/>
              <w:ind w:left="-96" w:leftChars="-46" w:right="-63" w:rightChars="-30"/>
              <w:jc w:val="center"/>
              <w:rPr>
                <w:rFonts w:hint="eastAsia" w:ascii="仿宋_GB2312" w:hAnsi="仿宋" w:eastAsia="仿宋_GB2312" w:cs="仿宋_GB2312"/>
                <w:color w:val="auto"/>
                <w:kern w:val="2"/>
                <w:sz w:val="24"/>
                <w:szCs w:val="21"/>
                <w:highlight w:val="none"/>
                <w:lang w:val="en-US" w:eastAsia="zh-CN" w:bidi="ar-SA"/>
              </w:rPr>
            </w:pPr>
          </w:p>
        </w:tc>
        <w:tc>
          <w:tcPr>
            <w:tcW w:w="837" w:type="dxa"/>
            <w:vAlign w:val="center"/>
          </w:tcPr>
          <w:p w14:paraId="4E56978C">
            <w:pPr>
              <w:adjustRightInd w:val="0"/>
              <w:snapToGrid w:val="0"/>
              <w:ind w:left="-96" w:leftChars="-46" w:right="-63" w:rightChars="-30"/>
              <w:jc w:val="center"/>
              <w:rPr>
                <w:rFonts w:hint="eastAsia" w:ascii="仿宋_GB2312" w:hAnsi="仿宋" w:eastAsia="仿宋_GB2312" w:cs="仿宋_GB2312"/>
                <w:color w:val="auto"/>
                <w:kern w:val="2"/>
                <w:sz w:val="24"/>
                <w:szCs w:val="21"/>
                <w:highlight w:val="none"/>
                <w:lang w:val="en-US" w:eastAsia="zh-CN" w:bidi="ar-SA"/>
              </w:rPr>
            </w:pPr>
          </w:p>
        </w:tc>
        <w:tc>
          <w:tcPr>
            <w:tcW w:w="804" w:type="dxa"/>
            <w:vAlign w:val="center"/>
          </w:tcPr>
          <w:p w14:paraId="32AEDCD4">
            <w:pPr>
              <w:adjustRightInd w:val="0"/>
              <w:snapToGrid w:val="0"/>
              <w:ind w:left="-96" w:leftChars="-46" w:right="-63" w:rightChars="-30"/>
              <w:jc w:val="center"/>
              <w:rPr>
                <w:rFonts w:hint="default" w:ascii="仿宋_GB2312" w:hAnsi="仿宋" w:eastAsia="仿宋_GB2312" w:cs="仿宋_GB2312"/>
                <w:color w:val="auto"/>
                <w:kern w:val="2"/>
                <w:sz w:val="24"/>
                <w:szCs w:val="21"/>
                <w:highlight w:val="none"/>
                <w:lang w:val="en-US" w:eastAsia="zh-CN" w:bidi="ar-SA"/>
              </w:rPr>
            </w:pPr>
          </w:p>
        </w:tc>
        <w:tc>
          <w:tcPr>
            <w:tcW w:w="804" w:type="dxa"/>
            <w:vAlign w:val="center"/>
          </w:tcPr>
          <w:p w14:paraId="0B62C3E4">
            <w:pPr>
              <w:adjustRightInd w:val="0"/>
              <w:snapToGrid w:val="0"/>
              <w:ind w:left="-96" w:leftChars="-46" w:right="-63" w:rightChars="-30"/>
              <w:jc w:val="center"/>
              <w:rPr>
                <w:rFonts w:hint="eastAsia" w:ascii="仿宋_GB2312" w:hAnsi="仿宋" w:eastAsia="仿宋_GB2312" w:cs="仿宋_GB2312"/>
                <w:color w:val="auto"/>
                <w:kern w:val="2"/>
                <w:sz w:val="24"/>
                <w:szCs w:val="21"/>
                <w:highlight w:val="none"/>
                <w:lang w:val="en-US" w:eastAsia="zh-CN" w:bidi="ar-SA"/>
              </w:rPr>
            </w:pPr>
          </w:p>
        </w:tc>
        <w:tc>
          <w:tcPr>
            <w:tcW w:w="677" w:type="dxa"/>
            <w:vAlign w:val="center"/>
          </w:tcPr>
          <w:p w14:paraId="52EDF16D">
            <w:pPr>
              <w:widowControl/>
              <w:jc w:val="center"/>
              <w:rPr>
                <w:rFonts w:hint="default"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532" w:type="dxa"/>
            <w:vAlign w:val="center"/>
          </w:tcPr>
          <w:p w14:paraId="2CB1B547">
            <w:pPr>
              <w:widowControl/>
              <w:jc w:val="center"/>
              <w:rPr>
                <w:rFonts w:hint="default"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822" w:type="dxa"/>
            <w:vAlign w:val="center"/>
          </w:tcPr>
          <w:p w14:paraId="48698AA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066EDF57">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4CF327BF">
            <w:pPr>
              <w:adjustRightInd w:val="0"/>
              <w:snapToGrid w:val="0"/>
              <w:ind w:left="-96" w:leftChars="-46" w:right="-63" w:rightChars="-30"/>
              <w:jc w:val="center"/>
              <w:rPr>
                <w:rFonts w:hint="default" w:ascii="仿宋_GB2312" w:hAnsi="仿宋" w:eastAsia="仿宋_GB2312" w:cs="仿宋_GB2312"/>
                <w:color w:val="auto"/>
                <w:sz w:val="24"/>
                <w:szCs w:val="21"/>
                <w:highlight w:val="none"/>
                <w:lang w:val="en-US" w:eastAsia="zh-CN"/>
              </w:rPr>
            </w:pPr>
          </w:p>
        </w:tc>
      </w:tr>
      <w:tr w14:paraId="3E57F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8" w:type="dxa"/>
            <w:vAlign w:val="center"/>
          </w:tcPr>
          <w:p w14:paraId="63C0B744">
            <w:pPr>
              <w:widowControl/>
              <w:snapToGrid w:val="0"/>
              <w:spacing w:line="400" w:lineRule="exact"/>
              <w:jc w:val="center"/>
              <w:rPr>
                <w:rFonts w:hint="default" w:ascii="仿宋_GB2312" w:hAnsi="仿宋" w:eastAsia="仿宋_GB2312" w:cs="仿宋_GB2312"/>
                <w:color w:val="auto"/>
                <w:kern w:val="2"/>
                <w:sz w:val="24"/>
                <w:szCs w:val="21"/>
                <w:highlight w:val="none"/>
                <w:lang w:val="en-US" w:eastAsia="zh-CN" w:bidi="ar-SA"/>
              </w:rPr>
            </w:pPr>
            <w:r>
              <w:rPr>
                <w:rFonts w:hint="eastAsia" w:ascii="仿宋_GB2312" w:hAnsi="仿宋" w:eastAsia="仿宋_GB2312" w:cs="仿宋_GB2312"/>
                <w:color w:val="auto"/>
                <w:kern w:val="2"/>
                <w:sz w:val="24"/>
                <w:szCs w:val="21"/>
                <w:highlight w:val="none"/>
                <w:lang w:val="en-US" w:eastAsia="zh-CN" w:bidi="ar-SA"/>
              </w:rPr>
              <w:t>2</w:t>
            </w:r>
          </w:p>
        </w:tc>
        <w:tc>
          <w:tcPr>
            <w:tcW w:w="1702" w:type="dxa"/>
            <w:vAlign w:val="center"/>
          </w:tcPr>
          <w:p w14:paraId="1D3EE564">
            <w:pPr>
              <w:widowControl/>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学生显示器</w:t>
            </w:r>
          </w:p>
        </w:tc>
        <w:tc>
          <w:tcPr>
            <w:tcW w:w="885" w:type="dxa"/>
            <w:vAlign w:val="center"/>
          </w:tcPr>
          <w:p w14:paraId="68B358B5">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37" w:type="dxa"/>
            <w:vAlign w:val="center"/>
          </w:tcPr>
          <w:p w14:paraId="7046993B">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4442616A">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1B0C05ED">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vAlign w:val="center"/>
          </w:tcPr>
          <w:p w14:paraId="7D17204B">
            <w:pPr>
              <w:widowControl/>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70</w:t>
            </w:r>
          </w:p>
        </w:tc>
        <w:tc>
          <w:tcPr>
            <w:tcW w:w="532" w:type="dxa"/>
            <w:vAlign w:val="center"/>
          </w:tcPr>
          <w:p w14:paraId="103C0AF2">
            <w:pPr>
              <w:widowControl/>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822" w:type="dxa"/>
            <w:vAlign w:val="center"/>
          </w:tcPr>
          <w:p w14:paraId="20608BCE">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3049DFD4">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3D51B1E7">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5016E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8" w:type="dxa"/>
            <w:vAlign w:val="center"/>
          </w:tcPr>
          <w:p w14:paraId="11EE6787">
            <w:pPr>
              <w:widowControl/>
              <w:snapToGrid w:val="0"/>
              <w:spacing w:line="400" w:lineRule="exact"/>
              <w:jc w:val="center"/>
              <w:rPr>
                <w:rFonts w:hint="default" w:ascii="仿宋_GB2312" w:hAnsi="仿宋" w:eastAsia="仿宋_GB2312" w:cs="仿宋_GB2312"/>
                <w:color w:val="auto"/>
                <w:kern w:val="2"/>
                <w:sz w:val="24"/>
                <w:szCs w:val="21"/>
                <w:highlight w:val="none"/>
                <w:lang w:val="en-US" w:eastAsia="zh-CN" w:bidi="ar-SA"/>
              </w:rPr>
            </w:pPr>
            <w:r>
              <w:rPr>
                <w:rFonts w:hint="eastAsia" w:ascii="仿宋_GB2312" w:hAnsi="仿宋" w:eastAsia="仿宋_GB2312" w:cs="仿宋_GB2312"/>
                <w:color w:val="auto"/>
                <w:kern w:val="2"/>
                <w:sz w:val="24"/>
                <w:szCs w:val="21"/>
                <w:highlight w:val="none"/>
                <w:lang w:val="en-US" w:eastAsia="zh-CN" w:bidi="ar-SA"/>
              </w:rPr>
              <w:t>3</w:t>
            </w:r>
          </w:p>
        </w:tc>
        <w:tc>
          <w:tcPr>
            <w:tcW w:w="1702" w:type="dxa"/>
            <w:vAlign w:val="center"/>
          </w:tcPr>
          <w:p w14:paraId="117CAF2A">
            <w:pPr>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空调</w:t>
            </w:r>
          </w:p>
        </w:tc>
        <w:tc>
          <w:tcPr>
            <w:tcW w:w="885" w:type="dxa"/>
            <w:vAlign w:val="center"/>
          </w:tcPr>
          <w:p w14:paraId="5A10079F">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37" w:type="dxa"/>
            <w:vAlign w:val="center"/>
          </w:tcPr>
          <w:p w14:paraId="68D44C06">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2464BDEC">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6173F890">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vAlign w:val="center"/>
          </w:tcPr>
          <w:p w14:paraId="6E86E0FB">
            <w:pPr>
              <w:widowControl/>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2</w:t>
            </w:r>
          </w:p>
        </w:tc>
        <w:tc>
          <w:tcPr>
            <w:tcW w:w="532" w:type="dxa"/>
            <w:vAlign w:val="center"/>
          </w:tcPr>
          <w:p w14:paraId="30875DF7">
            <w:pPr>
              <w:widowControl/>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台</w:t>
            </w:r>
          </w:p>
        </w:tc>
        <w:tc>
          <w:tcPr>
            <w:tcW w:w="822" w:type="dxa"/>
            <w:vAlign w:val="center"/>
          </w:tcPr>
          <w:p w14:paraId="75A1D120">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11A09897">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61DECAEC">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0ED8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558" w:type="dxa"/>
            <w:vAlign w:val="center"/>
          </w:tcPr>
          <w:p w14:paraId="21D2D1B6">
            <w:pPr>
              <w:widowControl/>
              <w:snapToGrid w:val="0"/>
              <w:spacing w:line="400" w:lineRule="exact"/>
              <w:jc w:val="center"/>
              <w:rPr>
                <w:rFonts w:hint="eastAsia" w:ascii="仿宋_GB2312" w:hAnsi="仿宋" w:eastAsia="仿宋_GB2312" w:cs="仿宋_GB2312"/>
                <w:color w:val="auto"/>
                <w:kern w:val="2"/>
                <w:sz w:val="24"/>
                <w:szCs w:val="21"/>
                <w:highlight w:val="none"/>
                <w:lang w:val="en-US" w:eastAsia="zh-CN" w:bidi="ar-SA"/>
              </w:rPr>
            </w:pPr>
            <w:r>
              <w:rPr>
                <w:rFonts w:hint="eastAsia" w:ascii="仿宋_GB2312" w:hAnsi="仿宋" w:eastAsia="仿宋_GB2312" w:cs="仿宋_GB2312"/>
                <w:color w:val="auto"/>
                <w:kern w:val="2"/>
                <w:sz w:val="24"/>
                <w:szCs w:val="21"/>
                <w:highlight w:val="none"/>
                <w:lang w:val="en-US" w:eastAsia="zh-CN" w:bidi="ar-SA"/>
              </w:rPr>
              <w:t>…</w:t>
            </w:r>
          </w:p>
        </w:tc>
        <w:tc>
          <w:tcPr>
            <w:tcW w:w="1702" w:type="dxa"/>
            <w:vAlign w:val="center"/>
          </w:tcPr>
          <w:p w14:paraId="780BEC9F">
            <w:pPr>
              <w:snapToGrid w:val="0"/>
              <w:spacing w:line="40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w:t>
            </w:r>
          </w:p>
        </w:tc>
        <w:tc>
          <w:tcPr>
            <w:tcW w:w="885" w:type="dxa"/>
            <w:vAlign w:val="center"/>
          </w:tcPr>
          <w:p w14:paraId="2712F763">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37" w:type="dxa"/>
            <w:vAlign w:val="center"/>
          </w:tcPr>
          <w:p w14:paraId="55EEF166">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2AE439D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67451522">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vAlign w:val="center"/>
          </w:tcPr>
          <w:p w14:paraId="24860C9B">
            <w:pPr>
              <w:widowControl/>
              <w:jc w:val="center"/>
              <w:rPr>
                <w:rFonts w:hint="eastAsia" w:ascii="仿宋_GB2312" w:hAnsi="仿宋_GB2312" w:eastAsia="仿宋_GB2312" w:cs="仿宋_GB2312"/>
                <w:color w:val="auto"/>
                <w:kern w:val="2"/>
                <w:sz w:val="24"/>
                <w:szCs w:val="24"/>
                <w:highlight w:val="none"/>
                <w:lang w:val="en-US" w:eastAsia="zh-CN" w:bidi="ar-SA"/>
              </w:rPr>
            </w:pPr>
          </w:p>
        </w:tc>
        <w:tc>
          <w:tcPr>
            <w:tcW w:w="532" w:type="dxa"/>
            <w:vAlign w:val="center"/>
          </w:tcPr>
          <w:p w14:paraId="25837BF2">
            <w:pPr>
              <w:widowControl/>
              <w:jc w:val="center"/>
              <w:rPr>
                <w:rFonts w:hint="eastAsia" w:ascii="仿宋_GB2312" w:hAnsi="仿宋_GB2312" w:eastAsia="仿宋_GB2312" w:cs="仿宋_GB2312"/>
                <w:color w:val="auto"/>
                <w:kern w:val="2"/>
                <w:sz w:val="24"/>
                <w:szCs w:val="24"/>
                <w:highlight w:val="none"/>
                <w:lang w:val="en-US" w:eastAsia="zh-CN" w:bidi="ar-SA"/>
              </w:rPr>
            </w:pPr>
          </w:p>
        </w:tc>
        <w:tc>
          <w:tcPr>
            <w:tcW w:w="822" w:type="dxa"/>
            <w:vAlign w:val="center"/>
          </w:tcPr>
          <w:p w14:paraId="6524ED5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349CA144">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38299A9F">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10B6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09" w:type="dxa"/>
            <w:gridSpan w:val="11"/>
            <w:vAlign w:val="center"/>
          </w:tcPr>
          <w:p w14:paraId="185C0AA4">
            <w:pPr>
              <w:adjustRightInd w:val="0"/>
              <w:snapToGrid w:val="0"/>
              <w:ind w:left="-96" w:leftChars="-46" w:right="-63" w:rightChars="-30"/>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总价（元）：</w:t>
            </w:r>
          </w:p>
        </w:tc>
      </w:tr>
    </w:tbl>
    <w:p w14:paraId="11F8478B">
      <w:pPr>
        <w:adjustRightInd w:val="0"/>
        <w:snapToGrid w:val="0"/>
        <w:spacing w:line="360" w:lineRule="auto"/>
        <w:ind w:right="105" w:rightChars="50"/>
        <w:jc w:val="left"/>
        <w:rPr>
          <w:rFonts w:ascii="仿宋_GB2312" w:hAnsi="仿宋" w:eastAsia="仿宋_GB2312" w:cs="仿宋_GB2312"/>
          <w:color w:val="auto"/>
          <w:sz w:val="24"/>
          <w:szCs w:val="21"/>
          <w:highlight w:val="none"/>
        </w:rPr>
      </w:pPr>
    </w:p>
    <w:p w14:paraId="593B5B08">
      <w:pPr>
        <w:adjustRightInd w:val="0"/>
        <w:snapToGrid w:val="0"/>
        <w:spacing w:line="360" w:lineRule="auto"/>
        <w:ind w:right="105" w:rightChars="50" w:firstLine="480" w:firstLineChars="200"/>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注：</w:t>
      </w:r>
      <w:r>
        <w:rPr>
          <w:rFonts w:hint="eastAsia" w:ascii="仿宋_GB2312" w:hAnsi="仿宋" w:eastAsia="仿宋_GB2312"/>
          <w:bCs/>
          <w:color w:val="auto"/>
          <w:sz w:val="24"/>
          <w:highlight w:val="none"/>
        </w:rPr>
        <w:t>投标人应提供国家确定的认证机构出具的、处于有效期之内的节能产品认证证书，</w:t>
      </w:r>
      <w:r>
        <w:rPr>
          <w:rFonts w:hint="eastAsia" w:ascii="仿宋_GB2312" w:hAnsi="仿宋" w:eastAsia="仿宋_GB2312" w:cs="仿宋_GB2312"/>
          <w:color w:val="auto"/>
          <w:sz w:val="24"/>
          <w:szCs w:val="21"/>
          <w:highlight w:val="none"/>
        </w:rPr>
        <w:t>并以明确标注所报产品信息和位置的方式，用以方便评审。</w:t>
      </w:r>
      <w:r>
        <w:rPr>
          <w:rFonts w:hint="eastAsia" w:ascii="仿宋_GB2312" w:hAnsi="仿宋" w:eastAsia="仿宋_GB2312"/>
          <w:bCs/>
          <w:color w:val="auto"/>
          <w:sz w:val="24"/>
          <w:highlight w:val="none"/>
        </w:rPr>
        <w:t>未提供</w:t>
      </w:r>
      <w:r>
        <w:rPr>
          <w:rFonts w:hint="eastAsia" w:ascii="仿宋_GB2312" w:hAnsi="仿宋" w:eastAsia="仿宋_GB2312"/>
          <w:b/>
          <w:bCs/>
          <w:color w:val="auto"/>
          <w:sz w:val="24"/>
          <w:highlight w:val="none"/>
        </w:rPr>
        <w:t>本表及有效节能产品认证证书</w:t>
      </w:r>
      <w:r>
        <w:rPr>
          <w:rFonts w:hint="eastAsia" w:ascii="仿宋_GB2312" w:hAnsi="仿宋" w:eastAsia="仿宋_GB2312"/>
          <w:bCs/>
          <w:color w:val="auto"/>
          <w:sz w:val="24"/>
          <w:highlight w:val="none"/>
        </w:rPr>
        <w:t>视为非节能产品，强制节能产品评审时视为不响应招标文件实质性要求而做</w:t>
      </w:r>
      <w:r>
        <w:rPr>
          <w:rFonts w:hint="eastAsia" w:ascii="仿宋_GB2312" w:hAnsi="仿宋" w:eastAsia="仿宋_GB2312"/>
          <w:b/>
          <w:bCs/>
          <w:color w:val="auto"/>
          <w:sz w:val="24"/>
          <w:highlight w:val="none"/>
        </w:rPr>
        <w:t>无效投标</w:t>
      </w:r>
      <w:r>
        <w:rPr>
          <w:rFonts w:hint="eastAsia" w:ascii="仿宋_GB2312" w:hAnsi="仿宋" w:eastAsia="仿宋_GB2312"/>
          <w:bCs/>
          <w:color w:val="auto"/>
          <w:sz w:val="24"/>
          <w:highlight w:val="none"/>
        </w:rPr>
        <w:t>文件处理，非强制节能产品将不进行价格加分。</w:t>
      </w:r>
    </w:p>
    <w:p w14:paraId="614836E2">
      <w:pPr>
        <w:adjustRightInd w:val="0"/>
        <w:snapToGrid w:val="0"/>
        <w:spacing w:line="480" w:lineRule="auto"/>
        <w:rPr>
          <w:rFonts w:ascii="仿宋_GB2312" w:hAnsi="仿宋" w:eastAsia="仿宋_GB2312" w:cs="仿宋_GB2312"/>
          <w:color w:val="auto"/>
          <w:sz w:val="24"/>
          <w:highlight w:val="none"/>
        </w:rPr>
      </w:pPr>
    </w:p>
    <w:p w14:paraId="1887CB6C">
      <w:pPr>
        <w:adjustRightInd w:val="0"/>
        <w:snapToGrid w:val="0"/>
        <w:spacing w:line="480" w:lineRule="auto"/>
        <w:rPr>
          <w:rFonts w:ascii="仿宋_GB2312" w:hAnsi="仿宋" w:eastAsia="仿宋_GB2312" w:cs="仿宋_GB2312"/>
          <w:color w:val="auto"/>
          <w:sz w:val="24"/>
          <w:highlight w:val="none"/>
        </w:rPr>
      </w:pPr>
    </w:p>
    <w:p w14:paraId="1841B0CD">
      <w:pPr>
        <w:adjustRightInd w:val="0"/>
        <w:snapToGrid w:val="0"/>
        <w:spacing w:line="480" w:lineRule="auto"/>
        <w:rPr>
          <w:rFonts w:hint="eastAsia" w:ascii="仿宋_GB2312" w:hAnsi="仿宋" w:eastAsia="仿宋_GB2312" w:cs="仿宋_GB2312"/>
          <w:color w:val="auto"/>
          <w:sz w:val="24"/>
          <w:highlight w:val="none"/>
        </w:rPr>
      </w:pPr>
    </w:p>
    <w:p w14:paraId="1C1DBA0C">
      <w:pPr>
        <w:adjustRightInd w:val="0"/>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1444E100">
      <w:pPr>
        <w:adjustRightInd w:val="0"/>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4E3C337F">
      <w:pPr>
        <w:adjustRightInd w:val="0"/>
        <w:snapToGrid w:val="0"/>
        <w:spacing w:line="480" w:lineRule="auto"/>
        <w:ind w:right="105" w:rightChars="50"/>
        <w:jc w:val="left"/>
        <w:rPr>
          <w:rFonts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1F181240">
      <w:pPr>
        <w:pStyle w:val="3"/>
        <w:adjustRightInd w:val="0"/>
        <w:snapToGrid w:val="0"/>
        <w:spacing w:before="0" w:after="0" w:line="240" w:lineRule="auto"/>
        <w:jc w:val="left"/>
        <w:rPr>
          <w:rFonts w:ascii="仿宋_GB2312" w:hAnsi="仿宋" w:eastAsia="仿宋_GB2312" w:cs="仿宋_GB2312"/>
          <w:color w:val="auto"/>
          <w:szCs w:val="28"/>
          <w:highlight w:val="none"/>
        </w:rPr>
        <w:sectPr>
          <w:pgSz w:w="11906" w:h="16838"/>
          <w:pgMar w:top="1468" w:right="1803" w:bottom="1418" w:left="1803" w:header="851" w:footer="1024" w:gutter="0"/>
          <w:pgBorders>
            <w:top w:val="none" w:sz="0" w:space="0"/>
            <w:left w:val="none" w:sz="0" w:space="0"/>
            <w:bottom w:val="none" w:sz="0" w:space="0"/>
            <w:right w:val="none" w:sz="0" w:space="0"/>
          </w:pgBorders>
          <w:cols w:space="720" w:num="1"/>
          <w:docGrid w:type="linesAndChars" w:linePitch="319" w:charSpace="0"/>
        </w:sectPr>
      </w:pPr>
    </w:p>
    <w:p w14:paraId="1800130C">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t>格式12</w:t>
      </w:r>
      <w:r>
        <w:rPr>
          <w:rFonts w:ascii="仿宋_GB2312" w:hAnsi="仿宋" w:eastAsia="仿宋_GB2312" w:cs="仿宋_GB2312"/>
          <w:color w:val="auto"/>
          <w:szCs w:val="28"/>
          <w:highlight w:val="none"/>
        </w:rPr>
        <w:t>-</w:t>
      </w:r>
      <w:r>
        <w:rPr>
          <w:rFonts w:hint="eastAsia" w:ascii="仿宋_GB2312" w:hAnsi="仿宋" w:eastAsia="仿宋_GB2312" w:cs="仿宋_GB2312"/>
          <w:color w:val="auto"/>
          <w:szCs w:val="28"/>
          <w:highlight w:val="none"/>
        </w:rPr>
        <w:t>2</w:t>
      </w:r>
    </w:p>
    <w:p w14:paraId="0F7CBF6A">
      <w:pPr>
        <w:adjustRightInd w:val="0"/>
        <w:snapToGrid w:val="0"/>
        <w:spacing w:before="319" w:beforeLines="100" w:line="360" w:lineRule="auto"/>
        <w:ind w:right="105" w:rightChars="5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获得环保认证产品部分报价表（如有）</w:t>
      </w:r>
    </w:p>
    <w:p w14:paraId="1B6B66CF">
      <w:pPr>
        <w:adjustRightInd w:val="0"/>
        <w:snapToGrid w:val="0"/>
        <w:spacing w:line="360" w:lineRule="auto"/>
        <w:ind w:right="105" w:rightChars="50"/>
        <w:jc w:val="left"/>
        <w:rPr>
          <w:rFonts w:ascii="仿宋_GB2312" w:hAnsi="仿宋" w:eastAsia="仿宋_GB2312" w:cs="仿宋_GB2312"/>
          <w:b/>
          <w:bCs/>
          <w:color w:val="auto"/>
          <w:sz w:val="24"/>
          <w:szCs w:val="21"/>
          <w:highlight w:val="none"/>
        </w:rPr>
      </w:pPr>
      <w:r>
        <w:rPr>
          <w:rFonts w:hint="eastAsia" w:ascii="仿宋_GB2312" w:hAnsi="仿宋" w:eastAsia="仿宋_GB2312" w:cs="仿宋_GB2312"/>
          <w:b/>
          <w:bCs/>
          <w:color w:val="auto"/>
          <w:sz w:val="24"/>
          <w:szCs w:val="21"/>
          <w:highlight w:val="none"/>
        </w:rPr>
        <w:t>包号：</w:t>
      </w:r>
      <w:r>
        <w:rPr>
          <w:rFonts w:hint="eastAsia" w:ascii="仿宋_GB2312" w:hAnsi="仿宋" w:eastAsia="仿宋_GB2312" w:cs="仿宋_GB2312"/>
          <w:b/>
          <w:bCs/>
          <w:color w:val="auto"/>
          <w:sz w:val="24"/>
          <w:szCs w:val="21"/>
          <w:highlight w:val="none"/>
          <w:lang w:val="en-US" w:eastAsia="zh-CN"/>
        </w:rPr>
        <w:t xml:space="preserve">001 </w:t>
      </w:r>
      <w:r>
        <w:rPr>
          <w:rFonts w:hint="eastAsia" w:ascii="仿宋_GB2312" w:hAnsi="仿宋" w:eastAsia="仿宋_GB2312" w:cs="仿宋_GB2312"/>
          <w:b/>
          <w:bCs/>
          <w:color w:val="auto"/>
          <w:sz w:val="24"/>
          <w:szCs w:val="21"/>
          <w:highlight w:val="none"/>
        </w:rPr>
        <w:t xml:space="preserve">             </w:t>
      </w:r>
      <w:r>
        <w:rPr>
          <w:rFonts w:ascii="仿宋_GB2312" w:hAnsi="仿宋" w:eastAsia="仿宋_GB2312" w:cs="仿宋_GB2312"/>
          <w:b/>
          <w:bCs/>
          <w:color w:val="auto"/>
          <w:sz w:val="24"/>
          <w:szCs w:val="21"/>
          <w:highlight w:val="none"/>
        </w:rPr>
        <w:t xml:space="preserve">  </w:t>
      </w:r>
      <w:r>
        <w:rPr>
          <w:rFonts w:hint="eastAsia" w:ascii="仿宋_GB2312" w:hAnsi="仿宋" w:eastAsia="仿宋_GB2312" w:cs="仿宋_GB2312"/>
          <w:b/>
          <w:bCs/>
          <w:color w:val="auto"/>
          <w:sz w:val="24"/>
          <w:szCs w:val="21"/>
          <w:highlight w:val="none"/>
        </w:rPr>
        <w:t xml:space="preserve">                           </w:t>
      </w:r>
      <w:r>
        <w:rPr>
          <w:rFonts w:ascii="仿宋_GB2312" w:hAnsi="仿宋" w:eastAsia="仿宋_GB2312" w:cs="仿宋_GB2312"/>
          <w:b/>
          <w:bCs/>
          <w:color w:val="auto"/>
          <w:sz w:val="24"/>
          <w:szCs w:val="21"/>
          <w:highlight w:val="none"/>
        </w:rPr>
        <w:t xml:space="preserve">  </w:t>
      </w:r>
      <w:r>
        <w:rPr>
          <w:rFonts w:hint="eastAsia" w:ascii="仿宋_GB2312" w:hAnsi="仿宋" w:eastAsia="仿宋_GB2312" w:cs="仿宋_GB2312"/>
          <w:b/>
          <w:bCs/>
          <w:color w:val="auto"/>
          <w:sz w:val="24"/>
          <w:szCs w:val="21"/>
          <w:highlight w:val="none"/>
        </w:rPr>
        <w:t xml:space="preserve">   报价单位：元</w:t>
      </w:r>
    </w:p>
    <w:tbl>
      <w:tblPr>
        <w:tblStyle w:val="25"/>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352"/>
        <w:gridCol w:w="1036"/>
        <w:gridCol w:w="1036"/>
        <w:gridCol w:w="804"/>
        <w:gridCol w:w="804"/>
        <w:gridCol w:w="677"/>
        <w:gridCol w:w="532"/>
        <w:gridCol w:w="822"/>
        <w:gridCol w:w="879"/>
        <w:gridCol w:w="609"/>
      </w:tblGrid>
      <w:tr w14:paraId="6269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558" w:type="dxa"/>
            <w:vAlign w:val="center"/>
          </w:tcPr>
          <w:p w14:paraId="68CD9F86">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序号</w:t>
            </w:r>
          </w:p>
        </w:tc>
        <w:tc>
          <w:tcPr>
            <w:tcW w:w="1352" w:type="dxa"/>
            <w:vAlign w:val="center"/>
          </w:tcPr>
          <w:p w14:paraId="6ED02B11">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产品名称</w:t>
            </w:r>
          </w:p>
        </w:tc>
        <w:tc>
          <w:tcPr>
            <w:tcW w:w="1036" w:type="dxa"/>
            <w:vAlign w:val="center"/>
          </w:tcPr>
          <w:p w14:paraId="53E2CEA1">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品牌</w:t>
            </w:r>
          </w:p>
        </w:tc>
        <w:tc>
          <w:tcPr>
            <w:tcW w:w="1036" w:type="dxa"/>
            <w:vAlign w:val="center"/>
          </w:tcPr>
          <w:p w14:paraId="34F52A92">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型号</w:t>
            </w:r>
          </w:p>
          <w:p w14:paraId="3B79A7F7">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规格</w:t>
            </w:r>
          </w:p>
        </w:tc>
        <w:tc>
          <w:tcPr>
            <w:tcW w:w="804" w:type="dxa"/>
            <w:vAlign w:val="center"/>
          </w:tcPr>
          <w:p w14:paraId="09C4935A">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制造商名称</w:t>
            </w:r>
          </w:p>
        </w:tc>
        <w:tc>
          <w:tcPr>
            <w:tcW w:w="804" w:type="dxa"/>
            <w:vAlign w:val="center"/>
          </w:tcPr>
          <w:p w14:paraId="37A30592">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认证机构名称</w:t>
            </w:r>
          </w:p>
        </w:tc>
        <w:tc>
          <w:tcPr>
            <w:tcW w:w="677" w:type="dxa"/>
            <w:vAlign w:val="center"/>
          </w:tcPr>
          <w:p w14:paraId="296C52B8">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数量</w:t>
            </w:r>
          </w:p>
        </w:tc>
        <w:tc>
          <w:tcPr>
            <w:tcW w:w="532" w:type="dxa"/>
            <w:vAlign w:val="center"/>
          </w:tcPr>
          <w:p w14:paraId="20F7EDAB">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单位</w:t>
            </w:r>
          </w:p>
        </w:tc>
        <w:tc>
          <w:tcPr>
            <w:tcW w:w="822" w:type="dxa"/>
            <w:vAlign w:val="center"/>
          </w:tcPr>
          <w:p w14:paraId="097E12B6">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单价（元）</w:t>
            </w:r>
          </w:p>
        </w:tc>
        <w:tc>
          <w:tcPr>
            <w:tcW w:w="879" w:type="dxa"/>
            <w:vAlign w:val="center"/>
          </w:tcPr>
          <w:p w14:paraId="16801239">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总价（元）</w:t>
            </w:r>
          </w:p>
        </w:tc>
        <w:tc>
          <w:tcPr>
            <w:tcW w:w="609" w:type="dxa"/>
            <w:vAlign w:val="center"/>
          </w:tcPr>
          <w:p w14:paraId="4A16E51E">
            <w:pPr>
              <w:adjustRightInd w:val="0"/>
              <w:snapToGrid w:val="0"/>
              <w:ind w:left="-96" w:leftChars="-46" w:right="-63" w:rightChars="-30"/>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备注</w:t>
            </w:r>
          </w:p>
        </w:tc>
      </w:tr>
      <w:tr w14:paraId="09CD7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58" w:type="dxa"/>
            <w:vAlign w:val="center"/>
          </w:tcPr>
          <w:p w14:paraId="686F6D4A">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352" w:type="dxa"/>
            <w:vAlign w:val="center"/>
          </w:tcPr>
          <w:p w14:paraId="58E1DAD1">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194C685B">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00EA45D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5693F68A">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49878E82">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tcPr>
          <w:p w14:paraId="3101F33A">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532" w:type="dxa"/>
          </w:tcPr>
          <w:p w14:paraId="5296F5C5">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22" w:type="dxa"/>
            <w:vAlign w:val="center"/>
          </w:tcPr>
          <w:p w14:paraId="69CD4C47">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7D22F8BA">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466FC995">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2F950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58" w:type="dxa"/>
            <w:vAlign w:val="center"/>
          </w:tcPr>
          <w:p w14:paraId="01284A4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352" w:type="dxa"/>
            <w:vAlign w:val="center"/>
          </w:tcPr>
          <w:p w14:paraId="5C558B9D">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70B4B264">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2DE335B5">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1E4B6B57">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6473A514">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tcPr>
          <w:p w14:paraId="599555A2">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532" w:type="dxa"/>
          </w:tcPr>
          <w:p w14:paraId="2079FDE8">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22" w:type="dxa"/>
            <w:vAlign w:val="center"/>
          </w:tcPr>
          <w:p w14:paraId="75F2AD51">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0E22C7F2">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7603790F">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71FEE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58" w:type="dxa"/>
            <w:vAlign w:val="center"/>
          </w:tcPr>
          <w:p w14:paraId="717CDB51">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352" w:type="dxa"/>
            <w:vAlign w:val="center"/>
          </w:tcPr>
          <w:p w14:paraId="66E5CB03">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5466277E">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2E4650E0">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0B3B56C6">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202EE6DD">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tcPr>
          <w:p w14:paraId="1C0F4873">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532" w:type="dxa"/>
          </w:tcPr>
          <w:p w14:paraId="3BF070CF">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22" w:type="dxa"/>
            <w:vAlign w:val="center"/>
          </w:tcPr>
          <w:p w14:paraId="2EBEDD7A">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1F54A6CE">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72CF83EA">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42AE0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58" w:type="dxa"/>
            <w:vAlign w:val="center"/>
          </w:tcPr>
          <w:p w14:paraId="6923539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352" w:type="dxa"/>
            <w:vAlign w:val="center"/>
          </w:tcPr>
          <w:p w14:paraId="38CFB51F">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60CE8C47">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729B42F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3312C78E">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5C1CC7A0">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tcPr>
          <w:p w14:paraId="72F4DA37">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532" w:type="dxa"/>
          </w:tcPr>
          <w:p w14:paraId="40C79F66">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22" w:type="dxa"/>
            <w:vAlign w:val="center"/>
          </w:tcPr>
          <w:p w14:paraId="20B19DF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18798ECA">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470471F2">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6F06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58" w:type="dxa"/>
            <w:vAlign w:val="center"/>
          </w:tcPr>
          <w:p w14:paraId="605F8702">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352" w:type="dxa"/>
            <w:vAlign w:val="center"/>
          </w:tcPr>
          <w:p w14:paraId="10EC7E17">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0D4301F6">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2950B3A3">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726F67E2">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555C6805">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tcPr>
          <w:p w14:paraId="3FA28080">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532" w:type="dxa"/>
          </w:tcPr>
          <w:p w14:paraId="2C5ED8C0">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22" w:type="dxa"/>
            <w:vAlign w:val="center"/>
          </w:tcPr>
          <w:p w14:paraId="67ECE27B">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764A3522">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2534071B">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61880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58" w:type="dxa"/>
            <w:vAlign w:val="center"/>
          </w:tcPr>
          <w:p w14:paraId="0C4AF665">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352" w:type="dxa"/>
            <w:vAlign w:val="center"/>
          </w:tcPr>
          <w:p w14:paraId="0259C724">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2503DE80">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1036" w:type="dxa"/>
            <w:vAlign w:val="center"/>
          </w:tcPr>
          <w:p w14:paraId="12E6643D">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2AFF049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04" w:type="dxa"/>
            <w:vAlign w:val="center"/>
          </w:tcPr>
          <w:p w14:paraId="4705F789">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77" w:type="dxa"/>
          </w:tcPr>
          <w:p w14:paraId="5E94C52F">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532" w:type="dxa"/>
          </w:tcPr>
          <w:p w14:paraId="0CE9A797">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22" w:type="dxa"/>
            <w:vAlign w:val="center"/>
          </w:tcPr>
          <w:p w14:paraId="25735783">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879" w:type="dxa"/>
            <w:vAlign w:val="center"/>
          </w:tcPr>
          <w:p w14:paraId="7DA60B18">
            <w:pPr>
              <w:adjustRightInd w:val="0"/>
              <w:snapToGrid w:val="0"/>
              <w:ind w:left="-96" w:leftChars="-46" w:right="-63" w:rightChars="-30"/>
              <w:jc w:val="center"/>
              <w:rPr>
                <w:rFonts w:ascii="仿宋_GB2312" w:hAnsi="仿宋" w:eastAsia="仿宋_GB2312" w:cs="仿宋_GB2312"/>
                <w:color w:val="auto"/>
                <w:sz w:val="24"/>
                <w:szCs w:val="21"/>
                <w:highlight w:val="none"/>
              </w:rPr>
            </w:pPr>
          </w:p>
        </w:tc>
        <w:tc>
          <w:tcPr>
            <w:tcW w:w="609" w:type="dxa"/>
            <w:vAlign w:val="center"/>
          </w:tcPr>
          <w:p w14:paraId="3F5D9731">
            <w:pPr>
              <w:adjustRightInd w:val="0"/>
              <w:snapToGrid w:val="0"/>
              <w:ind w:left="-96" w:leftChars="-46" w:right="-63" w:rightChars="-30"/>
              <w:jc w:val="center"/>
              <w:rPr>
                <w:rFonts w:ascii="仿宋_GB2312" w:hAnsi="仿宋" w:eastAsia="仿宋_GB2312" w:cs="仿宋_GB2312"/>
                <w:color w:val="auto"/>
                <w:sz w:val="24"/>
                <w:szCs w:val="21"/>
                <w:highlight w:val="none"/>
              </w:rPr>
            </w:pPr>
          </w:p>
        </w:tc>
      </w:tr>
      <w:tr w14:paraId="55626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9109" w:type="dxa"/>
            <w:gridSpan w:val="11"/>
            <w:vAlign w:val="center"/>
          </w:tcPr>
          <w:p w14:paraId="0E2F064A">
            <w:pPr>
              <w:adjustRightInd w:val="0"/>
              <w:snapToGrid w:val="0"/>
              <w:ind w:left="-96" w:leftChars="-46" w:right="-63" w:rightChars="-30"/>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总价（元）：</w:t>
            </w:r>
          </w:p>
        </w:tc>
      </w:tr>
    </w:tbl>
    <w:p w14:paraId="6AB3448E">
      <w:pPr>
        <w:adjustRightInd w:val="0"/>
        <w:snapToGrid w:val="0"/>
        <w:spacing w:line="360" w:lineRule="auto"/>
        <w:ind w:right="105" w:rightChars="50"/>
        <w:jc w:val="left"/>
        <w:rPr>
          <w:rFonts w:ascii="仿宋_GB2312" w:hAnsi="仿宋" w:eastAsia="仿宋_GB2312" w:cs="仿宋_GB2312"/>
          <w:color w:val="auto"/>
          <w:sz w:val="24"/>
          <w:szCs w:val="21"/>
          <w:highlight w:val="none"/>
        </w:rPr>
      </w:pPr>
    </w:p>
    <w:p w14:paraId="13881553">
      <w:pPr>
        <w:adjustRightInd w:val="0"/>
        <w:snapToGrid w:val="0"/>
        <w:spacing w:line="360" w:lineRule="auto"/>
        <w:ind w:right="105" w:rightChars="50" w:firstLine="480" w:firstLineChars="200"/>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注：投标人应提供国家确定的认证机构出具的、处于有效期之内的环境标志产品认证证书，并以明确标注所报产品信息和位置的方式，用以方便评审。未提供</w:t>
      </w:r>
      <w:r>
        <w:rPr>
          <w:rFonts w:hint="eastAsia" w:ascii="仿宋_GB2312" w:hAnsi="仿宋" w:eastAsia="仿宋_GB2312" w:cs="仿宋_GB2312"/>
          <w:b/>
          <w:color w:val="auto"/>
          <w:sz w:val="24"/>
          <w:szCs w:val="21"/>
          <w:highlight w:val="none"/>
        </w:rPr>
        <w:t>本表及有效环境标志产品认证证书</w:t>
      </w:r>
      <w:r>
        <w:rPr>
          <w:rFonts w:hint="eastAsia" w:ascii="仿宋_GB2312" w:hAnsi="仿宋" w:eastAsia="仿宋_GB2312" w:cs="仿宋_GB2312"/>
          <w:color w:val="auto"/>
          <w:sz w:val="24"/>
          <w:szCs w:val="21"/>
          <w:highlight w:val="none"/>
        </w:rPr>
        <w:t>视为非环保产品，评审时将不进行价格加分。</w:t>
      </w:r>
    </w:p>
    <w:p w14:paraId="2879F94D">
      <w:pPr>
        <w:adjustRightInd w:val="0"/>
        <w:snapToGrid w:val="0"/>
        <w:spacing w:line="360" w:lineRule="auto"/>
        <w:ind w:right="105" w:rightChars="50" w:firstLine="480" w:firstLineChars="200"/>
        <w:jc w:val="left"/>
        <w:rPr>
          <w:rFonts w:ascii="仿宋_GB2312" w:hAnsi="仿宋" w:eastAsia="仿宋_GB2312" w:cs="仿宋_GB2312"/>
          <w:color w:val="auto"/>
          <w:sz w:val="24"/>
          <w:szCs w:val="21"/>
          <w:highlight w:val="none"/>
        </w:rPr>
      </w:pPr>
    </w:p>
    <w:p w14:paraId="2E09438C">
      <w:pPr>
        <w:adjustRightInd w:val="0"/>
        <w:snapToGrid w:val="0"/>
        <w:spacing w:line="360" w:lineRule="auto"/>
        <w:ind w:right="105" w:rightChars="50"/>
        <w:jc w:val="left"/>
        <w:rPr>
          <w:rFonts w:ascii="仿宋_GB2312" w:hAnsi="仿宋" w:eastAsia="仿宋_GB2312" w:cs="仿宋_GB2312"/>
          <w:color w:val="auto"/>
          <w:sz w:val="24"/>
          <w:szCs w:val="21"/>
          <w:highlight w:val="none"/>
        </w:rPr>
      </w:pPr>
    </w:p>
    <w:p w14:paraId="3980D605">
      <w:pPr>
        <w:pStyle w:val="10"/>
        <w:rPr>
          <w:rFonts w:ascii="仿宋_GB2312" w:hAnsi="仿宋" w:eastAsia="仿宋_GB2312" w:cs="仿宋_GB2312"/>
          <w:color w:val="auto"/>
          <w:sz w:val="24"/>
          <w:szCs w:val="21"/>
          <w:highlight w:val="none"/>
        </w:rPr>
      </w:pPr>
    </w:p>
    <w:p w14:paraId="458558DF">
      <w:pPr>
        <w:pStyle w:val="20"/>
        <w:rPr>
          <w:color w:val="auto"/>
          <w:highlight w:val="none"/>
          <w:lang w:eastAsia="zh-CN"/>
        </w:rPr>
      </w:pPr>
    </w:p>
    <w:p w14:paraId="268343FA">
      <w:pPr>
        <w:adjustRightInd w:val="0"/>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022F9E71">
      <w:pPr>
        <w:adjustRightInd w:val="0"/>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3CB701DF">
      <w:pPr>
        <w:adjustRightInd w:val="0"/>
        <w:snapToGrid w:val="0"/>
        <w:spacing w:line="480" w:lineRule="auto"/>
        <w:ind w:right="105" w:rightChars="50"/>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0C9FADD9">
      <w:pPr>
        <w:rPr>
          <w:rFonts w:hint="eastAsia" w:ascii="仿宋_GB2312" w:hAnsi="仿宋" w:eastAsia="仿宋_GB2312" w:cs="仿宋_GB2312"/>
          <w:color w:val="auto"/>
          <w:szCs w:val="28"/>
          <w:highlight w:val="none"/>
        </w:rPr>
        <w:sectPr>
          <w:pgSz w:w="11906" w:h="16838"/>
          <w:pgMar w:top="1468" w:right="1803" w:bottom="1418" w:left="1803" w:header="851" w:footer="1024" w:gutter="0"/>
          <w:pgBorders>
            <w:top w:val="none" w:sz="0" w:space="0"/>
            <w:left w:val="none" w:sz="0" w:space="0"/>
            <w:bottom w:val="none" w:sz="0" w:space="0"/>
            <w:right w:val="none" w:sz="0" w:space="0"/>
          </w:pgBorders>
          <w:cols w:space="720" w:num="1"/>
          <w:docGrid w:type="linesAndChars" w:linePitch="319" w:charSpace="0"/>
        </w:sectPr>
      </w:pPr>
      <w:r>
        <w:rPr>
          <w:rFonts w:hint="eastAsia" w:ascii="仿宋_GB2312" w:hAnsi="仿宋" w:eastAsia="仿宋_GB2312" w:cs="仿宋_GB2312"/>
          <w:color w:val="auto"/>
          <w:szCs w:val="28"/>
          <w:highlight w:val="none"/>
        </w:rPr>
        <w:br w:type="page"/>
      </w:r>
    </w:p>
    <w:p w14:paraId="31B38791">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t>格式13</w:t>
      </w:r>
    </w:p>
    <w:p w14:paraId="7D84D3F4">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bookmarkStart w:id="123" w:name="_Toc9235_WPSOffice_Level2"/>
      <w:bookmarkStart w:id="124" w:name="_Toc31555_WPSOffice_Level2"/>
      <w:r>
        <w:rPr>
          <w:rFonts w:hint="eastAsia" w:ascii="方正小标宋简体" w:hAnsi="仿宋_GB2312" w:eastAsia="方正小标宋简体" w:cs="仿宋_GB2312"/>
          <w:color w:val="auto"/>
          <w:sz w:val="32"/>
          <w:szCs w:val="32"/>
          <w:highlight w:val="none"/>
        </w:rPr>
        <w:t>技术规格偏离表</w:t>
      </w:r>
      <w:bookmarkEnd w:id="123"/>
      <w:bookmarkEnd w:id="124"/>
    </w:p>
    <w:tbl>
      <w:tblPr>
        <w:tblStyle w:val="25"/>
        <w:tblW w:w="14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9"/>
        <w:gridCol w:w="1655"/>
        <w:gridCol w:w="1400"/>
        <w:gridCol w:w="1267"/>
        <w:gridCol w:w="1067"/>
      </w:tblGrid>
      <w:tr w14:paraId="1AF4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3D56C3E4">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品目1</w:t>
            </w:r>
          </w:p>
          <w:p w14:paraId="01EBBEFB">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产品名称：智慧语言实验室软件</w:t>
            </w:r>
          </w:p>
          <w:p w14:paraId="6CE35F2E">
            <w:pPr>
              <w:pStyle w:val="21"/>
              <w:widowControl w:val="0"/>
              <w:adjustRightInd w:val="0"/>
              <w:snapToGrid w:val="0"/>
              <w:spacing w:before="0" w:beforeAutospacing="0" w:after="0" w:afterAutospacing="0"/>
              <w:jc w:val="both"/>
              <w:rPr>
                <w:rFonts w:hint="eastAsia"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1套</w:t>
            </w:r>
          </w:p>
          <w:p w14:paraId="7C7FCC51">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6C4250E4">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4040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3D98C440">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466983F8">
            <w:pPr>
              <w:ind w:hanging="1"/>
              <w:rPr>
                <w:rFonts w:hint="eastAsia" w:ascii="仿宋_GB2312" w:hAnsi="仿宋" w:eastAsia="仿宋_GB2312" w:cs="仿宋_GB2312"/>
                <w:b/>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767B5DF3">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0E77D66F">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5A01A162">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1E4BD38C">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2D78C603">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206DAB94">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298AADF6">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材料</w:t>
            </w:r>
          </w:p>
        </w:tc>
      </w:tr>
      <w:tr w14:paraId="72982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123788D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一、基础</w:t>
            </w:r>
            <w:r>
              <w:rPr>
                <w:rFonts w:ascii="仿宋_GB2312" w:hAnsi="仿宋" w:eastAsia="仿宋_GB2312" w:cs="仿宋_GB2312"/>
                <w:color w:val="auto"/>
                <w:sz w:val="24"/>
                <w:szCs w:val="21"/>
                <w:highlight w:val="none"/>
              </w:rPr>
              <w:t>教学模式</w:t>
            </w:r>
          </w:p>
          <w:p w14:paraId="2965167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包含屏幕广播、话音广播、多形式媒体播放、黑屏肃静、多人示范、对讲、监视、电子画笔、文本下发等多媒体授课功能</w:t>
            </w:r>
            <w:r>
              <w:rPr>
                <w:rFonts w:hint="eastAsia" w:ascii="仿宋_GB2312" w:hAnsi="仿宋" w:eastAsia="仿宋_GB2312" w:cs="仿宋_GB2312"/>
                <w:color w:val="auto"/>
                <w:sz w:val="24"/>
                <w:szCs w:val="21"/>
                <w:highlight w:val="none"/>
                <w:lang w:eastAsia="zh-CN"/>
              </w:rPr>
              <w:t>；</w:t>
            </w:r>
          </w:p>
          <w:p w14:paraId="321FC93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教师机麦克风话音广播给学生，教学过程中，可以请任何一位或多位的学生发言，其他学生和教师收听该学生发言</w:t>
            </w:r>
            <w:r>
              <w:rPr>
                <w:rFonts w:hint="eastAsia" w:ascii="仿宋_GB2312" w:hAnsi="仿宋" w:eastAsia="仿宋_GB2312" w:cs="仿宋_GB2312"/>
                <w:color w:val="auto"/>
                <w:sz w:val="24"/>
                <w:szCs w:val="21"/>
                <w:highlight w:val="none"/>
                <w:lang w:eastAsia="zh-CN"/>
              </w:rPr>
              <w:t>；</w:t>
            </w:r>
          </w:p>
          <w:p w14:paraId="5E7B15C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屏幕广播支持将教学所用音视频同步、流畅广播至所有学生机，支持720p、1080p的高清视频</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具备屏幕广播辅助教学工具栏，可自由移动位置和自动隐藏</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通过工具栏，教师可以暂停广播和继续广播，教师可以随时选择白板或黑板并置顶到屏幕显示内容的最上层</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支持随堂提问结果反馈，可随时进行随堂提问，题型包括单项选择、主观问答、抢答等</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可通过口头描述回答或手动输入答案或选择选项</w:t>
            </w:r>
            <w:r>
              <w:rPr>
                <w:rFonts w:hint="eastAsia" w:ascii="仿宋_GB2312" w:hAnsi="仿宋" w:eastAsia="仿宋_GB2312" w:cs="仿宋_GB2312"/>
                <w:color w:val="auto"/>
                <w:sz w:val="24"/>
                <w:szCs w:val="21"/>
                <w:highlight w:val="none"/>
                <w:lang w:eastAsia="zh-CN"/>
              </w:rPr>
              <w:t>；</w:t>
            </w:r>
          </w:p>
          <w:p w14:paraId="40AC823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支持教室把学习内容发送到学生机，学生可以自主打开</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学生完成任务后，可以直接提交到教师机，避免教师批改作业要收取的麻烦</w:t>
            </w:r>
            <w:r>
              <w:rPr>
                <w:rFonts w:hint="eastAsia" w:ascii="仿宋_GB2312" w:hAnsi="仿宋" w:eastAsia="仿宋_GB2312" w:cs="仿宋_GB2312"/>
                <w:color w:val="auto"/>
                <w:sz w:val="24"/>
                <w:szCs w:val="21"/>
                <w:highlight w:val="none"/>
                <w:lang w:eastAsia="zh-CN"/>
              </w:rPr>
              <w:t>；</w:t>
            </w:r>
          </w:p>
          <w:p w14:paraId="279EF13F">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hint="default" w:ascii="仿宋_GB2312" w:hAnsi="仿宋" w:eastAsia="仿宋_GB2312" w:cs="仿宋_GB2312"/>
                <w:b/>
                <w:bCs/>
                <w:color w:val="auto"/>
                <w:sz w:val="24"/>
                <w:szCs w:val="21"/>
                <w:highlight w:val="none"/>
                <w:lang w:val="en-US" w:eastAsia="zh-CN"/>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听力讲解及训练功能</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教师可以通过软件自带的嵌入式播放器播放视频课件，无需安装第三方播放器，</w:t>
            </w:r>
            <w:r>
              <w:rPr>
                <w:rFonts w:hint="eastAsia" w:ascii="仿宋_GB2312" w:hAnsi="仿宋" w:eastAsia="仿宋_GB2312" w:cs="仿宋_GB2312"/>
                <w:color w:val="auto"/>
                <w:sz w:val="24"/>
                <w:szCs w:val="21"/>
                <w:highlight w:val="none"/>
              </w:rPr>
              <w:t>教师在广播听力资料过程中可利用标记、变速播放、随堂提问等工具来进行听力讲解</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教师可将播放的视频课件实时同步给学生，视频课件支持不少于2路字幕同时显示和单独显示</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同时支持不少于2路字幕对应的声音的单独播放</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支持设置不少于8个</w:t>
            </w:r>
            <w:r>
              <w:rPr>
                <w:rFonts w:hint="eastAsia" w:ascii="仿宋_GB2312" w:hAnsi="仿宋" w:eastAsia="仿宋_GB2312" w:cs="仿宋_GB2312"/>
                <w:color w:val="auto"/>
                <w:sz w:val="24"/>
                <w:szCs w:val="21"/>
                <w:highlight w:val="none"/>
              </w:rPr>
              <w:t>标记点</w:t>
            </w:r>
            <w:r>
              <w:rPr>
                <w:rFonts w:ascii="仿宋_GB2312" w:hAnsi="仿宋" w:eastAsia="仿宋_GB2312" w:cs="仿宋_GB2312"/>
                <w:color w:val="auto"/>
                <w:sz w:val="24"/>
                <w:szCs w:val="21"/>
                <w:highlight w:val="none"/>
              </w:rPr>
              <w:t>，可以快速定位</w:t>
            </w:r>
            <w:r>
              <w:rPr>
                <w:rFonts w:hint="eastAsia" w:ascii="仿宋_GB2312" w:hAnsi="仿宋" w:eastAsia="仿宋_GB2312" w:cs="仿宋_GB2312"/>
                <w:color w:val="auto"/>
                <w:sz w:val="24"/>
                <w:szCs w:val="21"/>
                <w:highlight w:val="none"/>
              </w:rPr>
              <w:t>到</w:t>
            </w:r>
            <w:r>
              <w:rPr>
                <w:rFonts w:ascii="仿宋_GB2312" w:hAnsi="仿宋" w:eastAsia="仿宋_GB2312" w:cs="仿宋_GB2312"/>
                <w:color w:val="auto"/>
                <w:sz w:val="24"/>
                <w:szCs w:val="21"/>
                <w:highlight w:val="none"/>
              </w:rPr>
              <w:t>标记点进行播放</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在</w:t>
            </w:r>
            <w:r>
              <w:rPr>
                <w:rFonts w:hint="eastAsia" w:ascii="仿宋_GB2312" w:hAnsi="仿宋" w:eastAsia="仿宋_GB2312" w:cs="仿宋_GB2312"/>
                <w:color w:val="auto"/>
                <w:sz w:val="24"/>
                <w:szCs w:val="21"/>
                <w:highlight w:val="none"/>
              </w:rPr>
              <w:t>课件</w:t>
            </w:r>
            <w:r>
              <w:rPr>
                <w:rFonts w:ascii="仿宋_GB2312" w:hAnsi="仿宋" w:eastAsia="仿宋_GB2312" w:cs="仿宋_GB2312"/>
                <w:color w:val="auto"/>
                <w:sz w:val="24"/>
                <w:szCs w:val="21"/>
                <w:highlight w:val="none"/>
              </w:rPr>
              <w:t>播放状态或暂停状态下，可以</w:t>
            </w:r>
            <w:r>
              <w:rPr>
                <w:rFonts w:hint="eastAsia" w:ascii="仿宋_GB2312" w:hAnsi="仿宋" w:eastAsia="仿宋_GB2312" w:cs="仿宋_GB2312"/>
                <w:color w:val="auto"/>
                <w:sz w:val="24"/>
                <w:szCs w:val="21"/>
                <w:highlight w:val="none"/>
              </w:rPr>
              <w:t>进行</w:t>
            </w:r>
            <w:r>
              <w:rPr>
                <w:rFonts w:ascii="仿宋_GB2312" w:hAnsi="仿宋" w:eastAsia="仿宋_GB2312" w:cs="仿宋_GB2312"/>
                <w:color w:val="auto"/>
                <w:sz w:val="24"/>
                <w:szCs w:val="21"/>
                <w:highlight w:val="none"/>
              </w:rPr>
              <w:t>抢答、选择、写作，口头回答</w:t>
            </w:r>
            <w:r>
              <w:rPr>
                <w:rFonts w:hint="eastAsia" w:ascii="仿宋_GB2312" w:hAnsi="仿宋" w:eastAsia="仿宋_GB2312" w:cs="仿宋_GB2312"/>
                <w:color w:val="auto"/>
                <w:sz w:val="24"/>
                <w:szCs w:val="21"/>
                <w:highlight w:val="none"/>
              </w:rPr>
              <w:t>等</w:t>
            </w:r>
            <w:r>
              <w:rPr>
                <w:rFonts w:ascii="仿宋_GB2312" w:hAnsi="仿宋" w:eastAsia="仿宋_GB2312" w:cs="仿宋_GB2312"/>
                <w:color w:val="auto"/>
                <w:sz w:val="24"/>
                <w:szCs w:val="21"/>
                <w:highlight w:val="none"/>
              </w:rPr>
              <w:t>课堂测验，测验结束后，教师能立即看到测验报告或回答结果，教师可以将某个学生口头回答的录音</w:t>
            </w:r>
            <w:r>
              <w:rPr>
                <w:rFonts w:hint="eastAsia" w:ascii="仿宋_GB2312" w:hAnsi="仿宋" w:eastAsia="仿宋_GB2312" w:cs="仿宋_GB2312"/>
                <w:color w:val="auto"/>
                <w:sz w:val="24"/>
                <w:szCs w:val="21"/>
                <w:highlight w:val="none"/>
              </w:rPr>
              <w:t>回放给全班同学听并进行讲评</w:t>
            </w:r>
            <w:r>
              <w:rPr>
                <w:rFonts w:ascii="仿宋_GB2312" w:hAnsi="仿宋" w:eastAsia="仿宋_GB2312" w:cs="仿宋_GB2312"/>
                <w:color w:val="auto"/>
                <w:sz w:val="24"/>
                <w:szCs w:val="21"/>
                <w:highlight w:val="none"/>
              </w:rPr>
              <w:t>，也可以让学生</w:t>
            </w:r>
            <w:r>
              <w:rPr>
                <w:rFonts w:hint="eastAsia" w:ascii="仿宋_GB2312" w:hAnsi="仿宋" w:eastAsia="仿宋_GB2312" w:cs="仿宋_GB2312"/>
                <w:color w:val="auto"/>
                <w:sz w:val="24"/>
                <w:szCs w:val="21"/>
                <w:highlight w:val="none"/>
              </w:rPr>
              <w:t>复听</w:t>
            </w:r>
            <w:r>
              <w:rPr>
                <w:rFonts w:ascii="仿宋_GB2312" w:hAnsi="仿宋" w:eastAsia="仿宋_GB2312" w:cs="仿宋_GB2312"/>
                <w:color w:val="auto"/>
                <w:sz w:val="24"/>
                <w:szCs w:val="21"/>
                <w:highlight w:val="none"/>
              </w:rPr>
              <w:t>自己的答题录音</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r>
              <w:rPr>
                <w:rFonts w:hint="eastAsia" w:ascii="仿宋_GB2312" w:hAnsi="仿宋" w:eastAsia="仿宋_GB2312" w:cs="仿宋_GB2312"/>
                <w:b/>
                <w:bCs/>
                <w:color w:val="auto"/>
                <w:sz w:val="24"/>
                <w:szCs w:val="21"/>
                <w:highlight w:val="none"/>
                <w:lang w:eastAsia="zh-CN"/>
              </w:rPr>
              <w:t>）</w:t>
            </w:r>
          </w:p>
          <w:p w14:paraId="4A03F918">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支持多路音频或视频课件广播视听教学，教师同时播放不少于15路的音频或视频课件，教师可以调节课件播放的进度，教师可以允许学生自主选择收看任意一路课件，也可以指定学生收看固定的某一路课件</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4F8EF87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具备快速恢复功能，可以帮助教师快速恢复到语音教学模式</w:t>
            </w:r>
            <w:r>
              <w:rPr>
                <w:rFonts w:hint="eastAsia" w:ascii="仿宋_GB2312" w:hAnsi="仿宋" w:eastAsia="仿宋_GB2312" w:cs="仿宋_GB2312"/>
                <w:color w:val="auto"/>
                <w:sz w:val="24"/>
                <w:szCs w:val="21"/>
                <w:highlight w:val="none"/>
                <w:lang w:eastAsia="zh-CN"/>
              </w:rPr>
              <w:t>；</w:t>
            </w:r>
          </w:p>
          <w:p w14:paraId="1C9CC12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lang w:val="zh-CN"/>
              </w:rPr>
              <w:t>8</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lang w:val="zh-CN"/>
              </w:rPr>
              <w:t>教师可从本地电脑上选择音视频、文档、图片等资料作为自习资料供学生自由浏览、点播进行自主自习；</w:t>
            </w:r>
          </w:p>
          <w:p w14:paraId="758AA496">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9</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在学生自主训练时，</w:t>
            </w:r>
            <w:r>
              <w:rPr>
                <w:rFonts w:ascii="仿宋_GB2312" w:hAnsi="仿宋" w:eastAsia="仿宋_GB2312" w:cs="仿宋_GB2312"/>
                <w:color w:val="auto"/>
                <w:sz w:val="24"/>
                <w:szCs w:val="21"/>
                <w:highlight w:val="none"/>
              </w:rPr>
              <w:t>教师可以监视</w:t>
            </w:r>
            <w:r>
              <w:rPr>
                <w:rFonts w:hint="eastAsia" w:ascii="仿宋_GB2312" w:hAnsi="仿宋" w:eastAsia="仿宋_GB2312" w:cs="仿宋_GB2312"/>
                <w:color w:val="auto"/>
                <w:sz w:val="24"/>
                <w:szCs w:val="21"/>
                <w:highlight w:val="none"/>
              </w:rPr>
              <w:t>全班</w:t>
            </w:r>
            <w:r>
              <w:rPr>
                <w:rFonts w:ascii="仿宋_GB2312" w:hAnsi="仿宋" w:eastAsia="仿宋_GB2312" w:cs="仿宋_GB2312"/>
                <w:color w:val="auto"/>
                <w:sz w:val="24"/>
                <w:szCs w:val="21"/>
                <w:highlight w:val="none"/>
              </w:rPr>
              <w:t>学生</w:t>
            </w:r>
            <w:r>
              <w:rPr>
                <w:rFonts w:hint="eastAsia" w:ascii="仿宋_GB2312" w:hAnsi="仿宋" w:eastAsia="仿宋_GB2312" w:cs="仿宋_GB2312"/>
                <w:color w:val="auto"/>
                <w:sz w:val="24"/>
                <w:szCs w:val="21"/>
                <w:highlight w:val="none"/>
              </w:rPr>
              <w:t>的</w:t>
            </w:r>
            <w:r>
              <w:rPr>
                <w:rFonts w:ascii="仿宋_GB2312" w:hAnsi="仿宋" w:eastAsia="仿宋_GB2312" w:cs="仿宋_GB2312"/>
                <w:color w:val="auto"/>
                <w:sz w:val="24"/>
                <w:szCs w:val="21"/>
                <w:highlight w:val="none"/>
              </w:rPr>
              <w:t>屏幕</w:t>
            </w:r>
            <w:r>
              <w:rPr>
                <w:rFonts w:hint="eastAsia" w:ascii="仿宋_GB2312" w:hAnsi="仿宋" w:eastAsia="仿宋_GB2312" w:cs="仿宋_GB2312"/>
                <w:color w:val="auto"/>
                <w:sz w:val="24"/>
                <w:szCs w:val="21"/>
                <w:highlight w:val="none"/>
              </w:rPr>
              <w:t>，可以选择采用</w:t>
            </w: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分屏</w:t>
            </w:r>
            <w:r>
              <w:rPr>
                <w:rFonts w:ascii="仿宋_GB2312" w:hAnsi="仿宋" w:eastAsia="仿宋_GB2312" w:cs="仿宋_GB2312"/>
                <w:color w:val="auto"/>
                <w:sz w:val="24"/>
                <w:szCs w:val="21"/>
                <w:highlight w:val="none"/>
              </w:rPr>
              <w:t>、9</w:t>
            </w:r>
            <w:r>
              <w:rPr>
                <w:rFonts w:hint="eastAsia" w:ascii="仿宋_GB2312" w:hAnsi="仿宋" w:eastAsia="仿宋_GB2312" w:cs="仿宋_GB2312"/>
                <w:color w:val="auto"/>
                <w:sz w:val="24"/>
                <w:szCs w:val="21"/>
                <w:highlight w:val="none"/>
              </w:rPr>
              <w:t>分屏</w:t>
            </w:r>
            <w:r>
              <w:rPr>
                <w:rFonts w:ascii="仿宋_GB2312" w:hAnsi="仿宋" w:eastAsia="仿宋_GB2312" w:cs="仿宋_GB2312"/>
                <w:color w:val="auto"/>
                <w:sz w:val="24"/>
                <w:szCs w:val="21"/>
                <w:highlight w:val="none"/>
              </w:rPr>
              <w:t>、16</w:t>
            </w:r>
            <w:r>
              <w:rPr>
                <w:rFonts w:hint="eastAsia" w:ascii="仿宋_GB2312" w:hAnsi="仿宋" w:eastAsia="仿宋_GB2312" w:cs="仿宋_GB2312"/>
                <w:color w:val="auto"/>
                <w:sz w:val="24"/>
                <w:szCs w:val="21"/>
                <w:highlight w:val="none"/>
              </w:rPr>
              <w:t>分屏</w:t>
            </w:r>
            <w:r>
              <w:rPr>
                <w:rFonts w:ascii="仿宋_GB2312" w:hAnsi="仿宋" w:eastAsia="仿宋_GB2312" w:cs="仿宋_GB2312"/>
                <w:color w:val="auto"/>
                <w:sz w:val="24"/>
                <w:szCs w:val="21"/>
                <w:highlight w:val="none"/>
              </w:rPr>
              <w:t>、64</w:t>
            </w:r>
            <w:r>
              <w:rPr>
                <w:rFonts w:hint="eastAsia" w:ascii="仿宋_GB2312" w:hAnsi="仿宋" w:eastAsia="仿宋_GB2312" w:cs="仿宋_GB2312"/>
                <w:color w:val="auto"/>
                <w:sz w:val="24"/>
                <w:szCs w:val="21"/>
                <w:highlight w:val="none"/>
              </w:rPr>
              <w:t>分屏来监视学生屏幕</w:t>
            </w:r>
            <w:r>
              <w:rPr>
                <w:rFonts w:ascii="仿宋_GB2312" w:hAnsi="仿宋" w:eastAsia="仿宋_GB2312" w:cs="仿宋_GB2312"/>
                <w:color w:val="auto"/>
                <w:sz w:val="24"/>
                <w:szCs w:val="21"/>
                <w:highlight w:val="none"/>
              </w:rPr>
              <w:t>，可以按照预设的时间间隔循环</w:t>
            </w:r>
            <w:r>
              <w:rPr>
                <w:rFonts w:hint="eastAsia" w:ascii="仿宋_GB2312" w:hAnsi="仿宋" w:eastAsia="仿宋_GB2312" w:cs="仿宋_GB2312"/>
                <w:color w:val="auto"/>
                <w:sz w:val="24"/>
                <w:szCs w:val="21"/>
                <w:highlight w:val="none"/>
              </w:rPr>
              <w:t>监视</w:t>
            </w:r>
            <w:r>
              <w:rPr>
                <w:rFonts w:ascii="仿宋_GB2312" w:hAnsi="仿宋" w:eastAsia="仿宋_GB2312" w:cs="仿宋_GB2312"/>
                <w:color w:val="auto"/>
                <w:sz w:val="24"/>
                <w:szCs w:val="21"/>
                <w:highlight w:val="none"/>
              </w:rPr>
              <w:t>学生屏幕</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446B70F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二、混合式教学模式</w:t>
            </w:r>
          </w:p>
          <w:p w14:paraId="3B11B49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支持接入摄像头</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在</w:t>
            </w:r>
            <w:r>
              <w:rPr>
                <w:rFonts w:ascii="仿宋_GB2312" w:hAnsi="仿宋" w:eastAsia="仿宋_GB2312" w:cs="仿宋_GB2312"/>
                <w:color w:val="auto"/>
                <w:sz w:val="24"/>
                <w:szCs w:val="21"/>
                <w:highlight w:val="none"/>
              </w:rPr>
              <w:t>课堂教学过程中</w:t>
            </w:r>
            <w:r>
              <w:rPr>
                <w:rFonts w:hint="eastAsia" w:ascii="仿宋_GB2312" w:hAnsi="仿宋" w:eastAsia="仿宋_GB2312" w:cs="仿宋_GB2312"/>
                <w:color w:val="auto"/>
                <w:sz w:val="24"/>
                <w:szCs w:val="21"/>
                <w:highlight w:val="none"/>
              </w:rPr>
              <w:t>可以实时看到摄像头</w:t>
            </w:r>
            <w:r>
              <w:rPr>
                <w:rFonts w:ascii="仿宋_GB2312" w:hAnsi="仿宋" w:eastAsia="仿宋_GB2312" w:cs="仿宋_GB2312"/>
                <w:color w:val="auto"/>
                <w:sz w:val="24"/>
                <w:szCs w:val="21"/>
                <w:highlight w:val="none"/>
              </w:rPr>
              <w:t>画面</w:t>
            </w:r>
            <w:r>
              <w:rPr>
                <w:rFonts w:hint="eastAsia" w:ascii="仿宋_GB2312" w:hAnsi="仿宋" w:eastAsia="仿宋_GB2312" w:cs="仿宋_GB2312"/>
                <w:color w:val="auto"/>
                <w:sz w:val="24"/>
                <w:szCs w:val="21"/>
                <w:highlight w:val="none"/>
              </w:rPr>
              <w:t>，可以显示</w:t>
            </w:r>
            <w:r>
              <w:rPr>
                <w:rFonts w:ascii="仿宋_GB2312" w:hAnsi="仿宋" w:eastAsia="仿宋_GB2312" w:cs="仿宋_GB2312"/>
                <w:color w:val="auto"/>
                <w:sz w:val="24"/>
                <w:szCs w:val="21"/>
                <w:highlight w:val="none"/>
              </w:rPr>
              <w:t>教师</w:t>
            </w:r>
            <w:r>
              <w:rPr>
                <w:rFonts w:hint="eastAsia" w:ascii="仿宋_GB2312" w:hAnsi="仿宋" w:eastAsia="仿宋_GB2312" w:cs="仿宋_GB2312"/>
                <w:color w:val="auto"/>
                <w:sz w:val="24"/>
                <w:szCs w:val="21"/>
                <w:highlight w:val="none"/>
              </w:rPr>
              <w:t>和学生</w:t>
            </w:r>
            <w:r>
              <w:rPr>
                <w:rFonts w:ascii="仿宋_GB2312" w:hAnsi="仿宋" w:eastAsia="仿宋_GB2312" w:cs="仿宋_GB2312"/>
                <w:color w:val="auto"/>
                <w:sz w:val="24"/>
                <w:szCs w:val="21"/>
                <w:highlight w:val="none"/>
              </w:rPr>
              <w:t>的面部表情、发音口型</w:t>
            </w:r>
            <w:r>
              <w:rPr>
                <w:rFonts w:hint="eastAsia" w:ascii="仿宋_GB2312" w:hAnsi="仿宋" w:eastAsia="仿宋_GB2312" w:cs="仿宋_GB2312"/>
                <w:color w:val="auto"/>
                <w:sz w:val="24"/>
                <w:szCs w:val="21"/>
                <w:highlight w:val="none"/>
              </w:rPr>
              <w:t>以及学生的笔记等</w:t>
            </w:r>
            <w:r>
              <w:rPr>
                <w:rFonts w:hint="eastAsia" w:ascii="仿宋_GB2312" w:hAnsi="仿宋" w:eastAsia="仿宋_GB2312" w:cs="仿宋_GB2312"/>
                <w:color w:val="auto"/>
                <w:sz w:val="24"/>
                <w:szCs w:val="21"/>
                <w:highlight w:val="none"/>
                <w:lang w:eastAsia="zh-CN"/>
              </w:rPr>
              <w:t>；</w:t>
            </w:r>
          </w:p>
          <w:p w14:paraId="371343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支持账号登录</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教师和学生均通过账号登入软件</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教师在任一教室登录，</w:t>
            </w:r>
            <w:r>
              <w:rPr>
                <w:rFonts w:ascii="仿宋_GB2312" w:hAnsi="仿宋" w:eastAsia="仿宋_GB2312" w:cs="仿宋_GB2312"/>
                <w:color w:val="auto"/>
                <w:sz w:val="24"/>
                <w:szCs w:val="21"/>
                <w:highlight w:val="none"/>
              </w:rPr>
              <w:t>可以自动加载教学班的</w:t>
            </w:r>
            <w:r>
              <w:rPr>
                <w:rFonts w:hint="eastAsia" w:ascii="仿宋_GB2312" w:hAnsi="仿宋" w:eastAsia="仿宋_GB2312" w:cs="仿宋_GB2312"/>
                <w:color w:val="auto"/>
                <w:sz w:val="24"/>
                <w:szCs w:val="21"/>
                <w:highlight w:val="none"/>
              </w:rPr>
              <w:t>课程、作业和班级</w:t>
            </w:r>
            <w:r>
              <w:rPr>
                <w:rFonts w:ascii="仿宋_GB2312" w:hAnsi="仿宋" w:eastAsia="仿宋_GB2312" w:cs="仿宋_GB2312"/>
                <w:color w:val="auto"/>
                <w:sz w:val="24"/>
                <w:szCs w:val="21"/>
                <w:highlight w:val="none"/>
              </w:rPr>
              <w:t>学生</w:t>
            </w:r>
            <w:r>
              <w:rPr>
                <w:rFonts w:hint="eastAsia" w:ascii="仿宋_GB2312" w:hAnsi="仿宋" w:eastAsia="仿宋_GB2312" w:cs="仿宋_GB2312"/>
                <w:color w:val="auto"/>
                <w:sz w:val="24"/>
                <w:szCs w:val="21"/>
                <w:highlight w:val="none"/>
              </w:rPr>
              <w:t>的各项</w:t>
            </w:r>
            <w:r>
              <w:rPr>
                <w:rFonts w:ascii="仿宋_GB2312" w:hAnsi="仿宋" w:eastAsia="仿宋_GB2312" w:cs="仿宋_GB2312"/>
                <w:color w:val="auto"/>
                <w:sz w:val="24"/>
                <w:szCs w:val="21"/>
                <w:highlight w:val="none"/>
              </w:rPr>
              <w:t>数据</w:t>
            </w:r>
            <w:r>
              <w:rPr>
                <w:rFonts w:hint="eastAsia" w:ascii="仿宋_GB2312" w:hAnsi="仿宋" w:eastAsia="仿宋_GB2312" w:cs="仿宋_GB2312"/>
                <w:color w:val="auto"/>
                <w:sz w:val="24"/>
                <w:szCs w:val="21"/>
                <w:highlight w:val="none"/>
                <w:lang w:eastAsia="zh-CN"/>
              </w:rPr>
              <w:t>；</w:t>
            </w:r>
          </w:p>
          <w:p w14:paraId="0C02B489">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ascii="仿宋_GB2312" w:hAnsi="仿宋" w:eastAsia="仿宋_GB2312" w:cs="仿宋_GB2312"/>
                <w:color w:val="auto"/>
                <w:sz w:val="24"/>
                <w:szCs w:val="21"/>
                <w:highlight w:val="none"/>
              </w:rPr>
              <w:t>支持不在教室的学生远程</w:t>
            </w:r>
            <w:r>
              <w:rPr>
                <w:rFonts w:hint="eastAsia" w:ascii="仿宋_GB2312" w:hAnsi="仿宋" w:eastAsia="仿宋_GB2312" w:cs="仿宋_GB2312"/>
                <w:color w:val="auto"/>
                <w:sz w:val="24"/>
                <w:szCs w:val="21"/>
                <w:highlight w:val="none"/>
              </w:rPr>
              <w:t>加入教学，参与学生发言、学生示范、课堂问答、口语练习、主题讨论、翻译</w:t>
            </w:r>
            <w:r>
              <w:rPr>
                <w:rFonts w:ascii="仿宋_GB2312" w:hAnsi="仿宋" w:eastAsia="仿宋_GB2312" w:cs="仿宋_GB2312"/>
                <w:color w:val="auto"/>
                <w:sz w:val="24"/>
                <w:szCs w:val="21"/>
                <w:highlight w:val="none"/>
              </w:rPr>
              <w:t>训练</w:t>
            </w:r>
            <w:r>
              <w:rPr>
                <w:rFonts w:hint="eastAsia" w:ascii="仿宋_GB2312" w:hAnsi="仿宋" w:eastAsia="仿宋_GB2312" w:cs="仿宋_GB2312"/>
                <w:color w:val="auto"/>
                <w:sz w:val="24"/>
                <w:szCs w:val="21"/>
                <w:highlight w:val="none"/>
              </w:rPr>
              <w:t>等教学活动</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5AC0353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支持学生自由发言</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学生点击发言按钮后开始发言，</w:t>
            </w:r>
            <w:r>
              <w:rPr>
                <w:rFonts w:ascii="仿宋_GB2312" w:hAnsi="仿宋" w:eastAsia="仿宋_GB2312" w:cs="仿宋_GB2312"/>
                <w:color w:val="auto"/>
                <w:sz w:val="24"/>
                <w:szCs w:val="21"/>
                <w:highlight w:val="none"/>
              </w:rPr>
              <w:t>全班学生听</w:t>
            </w:r>
            <w:r>
              <w:rPr>
                <w:rFonts w:hint="eastAsia" w:ascii="仿宋_GB2312" w:hAnsi="仿宋" w:eastAsia="仿宋_GB2312" w:cs="仿宋_GB2312"/>
                <w:color w:val="auto"/>
                <w:sz w:val="24"/>
                <w:szCs w:val="21"/>
                <w:highlight w:val="none"/>
              </w:rPr>
              <w:t>都可以实时听到发言者</w:t>
            </w:r>
            <w:r>
              <w:rPr>
                <w:rFonts w:ascii="仿宋_GB2312" w:hAnsi="仿宋" w:eastAsia="仿宋_GB2312" w:cs="仿宋_GB2312"/>
                <w:color w:val="auto"/>
                <w:sz w:val="24"/>
                <w:szCs w:val="21"/>
                <w:highlight w:val="none"/>
              </w:rPr>
              <w:t>的声音</w:t>
            </w:r>
            <w:r>
              <w:rPr>
                <w:rFonts w:hint="eastAsia" w:ascii="仿宋_GB2312" w:hAnsi="仿宋" w:eastAsia="仿宋_GB2312" w:cs="仿宋_GB2312"/>
                <w:color w:val="auto"/>
                <w:sz w:val="24"/>
                <w:szCs w:val="21"/>
                <w:highlight w:val="none"/>
              </w:rPr>
              <w:t>，可以看到发言者实时摄像头</w:t>
            </w:r>
            <w:r>
              <w:rPr>
                <w:rFonts w:ascii="仿宋_GB2312" w:hAnsi="仿宋" w:eastAsia="仿宋_GB2312" w:cs="仿宋_GB2312"/>
                <w:color w:val="auto"/>
                <w:sz w:val="24"/>
                <w:szCs w:val="21"/>
                <w:highlight w:val="none"/>
              </w:rPr>
              <w:t>画面，支持不少于4位学生同时发言及影像显示</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学生发言次数自动</w:t>
            </w:r>
            <w:r>
              <w:rPr>
                <w:rFonts w:hint="eastAsia" w:ascii="仿宋_GB2312" w:hAnsi="仿宋" w:eastAsia="仿宋_GB2312" w:cs="仿宋_GB2312"/>
                <w:color w:val="auto"/>
                <w:sz w:val="24"/>
                <w:szCs w:val="21"/>
                <w:highlight w:val="none"/>
              </w:rPr>
              <w:t>记录到</w:t>
            </w:r>
            <w:r>
              <w:rPr>
                <w:rFonts w:ascii="仿宋_GB2312" w:hAnsi="仿宋" w:eastAsia="仿宋_GB2312" w:cs="仿宋_GB2312"/>
                <w:color w:val="auto"/>
                <w:sz w:val="24"/>
                <w:szCs w:val="21"/>
                <w:highlight w:val="none"/>
              </w:rPr>
              <w:t>外语教学平台，</w:t>
            </w:r>
            <w:r>
              <w:rPr>
                <w:rFonts w:hint="eastAsia" w:ascii="仿宋_GB2312" w:hAnsi="仿宋" w:eastAsia="仿宋_GB2312" w:cs="仿宋_GB2312"/>
                <w:color w:val="auto"/>
                <w:sz w:val="24"/>
                <w:szCs w:val="21"/>
                <w:highlight w:val="none"/>
              </w:rPr>
              <w:t>作为平时成绩的数据</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 xml:space="preserve"> </w:t>
            </w:r>
          </w:p>
          <w:p w14:paraId="4FE538F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ascii="仿宋_GB2312" w:hAnsi="仿宋" w:eastAsia="仿宋_GB2312" w:cs="仿宋_GB2312"/>
                <w:color w:val="auto"/>
                <w:sz w:val="24"/>
                <w:szCs w:val="21"/>
                <w:highlight w:val="none"/>
              </w:rPr>
              <w:t>学生</w:t>
            </w:r>
            <w:r>
              <w:rPr>
                <w:rFonts w:hint="eastAsia" w:ascii="仿宋_GB2312" w:hAnsi="仿宋" w:eastAsia="仿宋_GB2312" w:cs="仿宋_GB2312"/>
                <w:color w:val="auto"/>
                <w:sz w:val="24"/>
                <w:szCs w:val="21"/>
                <w:highlight w:val="none"/>
              </w:rPr>
              <w:t>示范</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教师可以选择</w:t>
            </w:r>
            <w:r>
              <w:rPr>
                <w:rFonts w:hint="eastAsia" w:ascii="仿宋_GB2312" w:hAnsi="仿宋" w:eastAsia="仿宋_GB2312" w:cs="仿宋_GB2312"/>
                <w:color w:val="auto"/>
                <w:sz w:val="24"/>
                <w:szCs w:val="21"/>
                <w:highlight w:val="none"/>
              </w:rPr>
              <w:t>任意一个</w:t>
            </w:r>
            <w:r>
              <w:rPr>
                <w:rFonts w:ascii="仿宋_GB2312" w:hAnsi="仿宋" w:eastAsia="仿宋_GB2312" w:cs="仿宋_GB2312"/>
                <w:color w:val="auto"/>
                <w:sz w:val="24"/>
                <w:szCs w:val="21"/>
                <w:highlight w:val="none"/>
              </w:rPr>
              <w:t>学生进行示范，全班学生能看到和听到</w:t>
            </w:r>
            <w:r>
              <w:rPr>
                <w:rFonts w:hint="eastAsia" w:ascii="仿宋_GB2312" w:hAnsi="仿宋" w:eastAsia="仿宋_GB2312" w:cs="仿宋_GB2312"/>
                <w:color w:val="auto"/>
                <w:sz w:val="24"/>
                <w:szCs w:val="21"/>
                <w:highlight w:val="none"/>
              </w:rPr>
              <w:t>该</w:t>
            </w:r>
            <w:r>
              <w:rPr>
                <w:rFonts w:ascii="仿宋_GB2312" w:hAnsi="仿宋" w:eastAsia="仿宋_GB2312" w:cs="仿宋_GB2312"/>
                <w:color w:val="auto"/>
                <w:sz w:val="24"/>
                <w:szCs w:val="21"/>
                <w:highlight w:val="none"/>
              </w:rPr>
              <w:t>学生的屏幕和声音，</w:t>
            </w:r>
            <w:r>
              <w:rPr>
                <w:rFonts w:hint="eastAsia" w:ascii="仿宋_GB2312" w:hAnsi="仿宋" w:eastAsia="仿宋_GB2312" w:cs="仿宋_GB2312"/>
                <w:color w:val="auto"/>
                <w:sz w:val="24"/>
                <w:szCs w:val="21"/>
                <w:highlight w:val="none"/>
              </w:rPr>
              <w:t>可以看到该学生的实时摄像头</w:t>
            </w:r>
            <w:r>
              <w:rPr>
                <w:rFonts w:ascii="仿宋_GB2312" w:hAnsi="仿宋" w:eastAsia="仿宋_GB2312" w:cs="仿宋_GB2312"/>
                <w:color w:val="auto"/>
                <w:sz w:val="24"/>
                <w:szCs w:val="21"/>
                <w:highlight w:val="none"/>
              </w:rPr>
              <w:t>画面</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学生示范次数自动</w:t>
            </w:r>
            <w:r>
              <w:rPr>
                <w:rFonts w:hint="eastAsia" w:ascii="仿宋_GB2312" w:hAnsi="仿宋" w:eastAsia="仿宋_GB2312" w:cs="仿宋_GB2312"/>
                <w:color w:val="auto"/>
                <w:sz w:val="24"/>
                <w:szCs w:val="21"/>
                <w:highlight w:val="none"/>
              </w:rPr>
              <w:t>记录到</w:t>
            </w:r>
            <w:r>
              <w:rPr>
                <w:rFonts w:ascii="仿宋_GB2312" w:hAnsi="仿宋" w:eastAsia="仿宋_GB2312" w:cs="仿宋_GB2312"/>
                <w:color w:val="auto"/>
                <w:sz w:val="24"/>
                <w:szCs w:val="21"/>
                <w:highlight w:val="none"/>
              </w:rPr>
              <w:t>外语教学平台，</w:t>
            </w:r>
            <w:r>
              <w:rPr>
                <w:rFonts w:hint="eastAsia" w:ascii="仿宋_GB2312" w:hAnsi="仿宋" w:eastAsia="仿宋_GB2312" w:cs="仿宋_GB2312"/>
                <w:color w:val="auto"/>
                <w:sz w:val="24"/>
                <w:szCs w:val="21"/>
                <w:highlight w:val="none"/>
              </w:rPr>
              <w:t>作为平时成绩的数据</w:t>
            </w:r>
            <w:r>
              <w:rPr>
                <w:rFonts w:hint="eastAsia" w:ascii="仿宋_GB2312" w:hAnsi="仿宋" w:eastAsia="仿宋_GB2312" w:cs="仿宋_GB2312"/>
                <w:color w:val="auto"/>
                <w:sz w:val="24"/>
                <w:szCs w:val="21"/>
                <w:highlight w:val="none"/>
                <w:lang w:eastAsia="zh-CN"/>
              </w:rPr>
              <w:t>；</w:t>
            </w:r>
          </w:p>
          <w:p w14:paraId="40C746C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ascii="仿宋_GB2312" w:hAnsi="仿宋" w:eastAsia="仿宋_GB2312" w:cs="仿宋_GB2312"/>
                <w:color w:val="auto"/>
                <w:sz w:val="24"/>
                <w:szCs w:val="21"/>
                <w:highlight w:val="none"/>
              </w:rPr>
              <w:t>课堂</w:t>
            </w:r>
            <w:r>
              <w:rPr>
                <w:rFonts w:hint="eastAsia" w:ascii="仿宋_GB2312" w:hAnsi="仿宋" w:eastAsia="仿宋_GB2312" w:cs="仿宋_GB2312"/>
                <w:color w:val="auto"/>
                <w:sz w:val="24"/>
                <w:szCs w:val="21"/>
                <w:highlight w:val="none"/>
              </w:rPr>
              <w:t>问答</w:t>
            </w:r>
          </w:p>
          <w:p w14:paraId="7CA527F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w:t>
            </w:r>
            <w:r>
              <w:rPr>
                <w:rFonts w:ascii="仿宋_GB2312" w:hAnsi="仿宋" w:eastAsia="仿宋_GB2312" w:cs="仿宋_GB2312"/>
                <w:color w:val="auto"/>
                <w:sz w:val="24"/>
                <w:szCs w:val="21"/>
                <w:highlight w:val="none"/>
              </w:rPr>
              <w:t>.1 教师可以在</w:t>
            </w:r>
            <w:r>
              <w:rPr>
                <w:rFonts w:hint="eastAsia" w:ascii="仿宋_GB2312" w:hAnsi="仿宋" w:eastAsia="仿宋_GB2312" w:cs="仿宋_GB2312"/>
                <w:color w:val="auto"/>
                <w:sz w:val="24"/>
                <w:szCs w:val="21"/>
                <w:highlight w:val="none"/>
              </w:rPr>
              <w:t>广播音频、视频、PPT等课件的同时进行多种课堂问答</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包括选择</w:t>
            </w:r>
            <w:r>
              <w:rPr>
                <w:rFonts w:ascii="仿宋_GB2312" w:hAnsi="仿宋" w:eastAsia="仿宋_GB2312" w:cs="仿宋_GB2312"/>
                <w:color w:val="auto"/>
                <w:sz w:val="24"/>
                <w:szCs w:val="21"/>
                <w:highlight w:val="none"/>
              </w:rPr>
              <w:t>、填空、简答、录音</w:t>
            </w:r>
            <w:r>
              <w:rPr>
                <w:rFonts w:hint="eastAsia" w:ascii="仿宋_GB2312" w:hAnsi="仿宋" w:eastAsia="仿宋_GB2312" w:cs="仿宋_GB2312"/>
                <w:color w:val="auto"/>
                <w:sz w:val="24"/>
                <w:szCs w:val="21"/>
                <w:highlight w:val="none"/>
              </w:rPr>
              <w:t>回答等方式，也可以给学生下发文档让学生作答后再收取上来</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学生</w:t>
            </w:r>
            <w:r>
              <w:rPr>
                <w:rFonts w:ascii="仿宋_GB2312" w:hAnsi="仿宋" w:eastAsia="仿宋_GB2312" w:cs="仿宋_GB2312"/>
                <w:color w:val="auto"/>
                <w:sz w:val="24"/>
                <w:szCs w:val="21"/>
                <w:highlight w:val="none"/>
              </w:rPr>
              <w:t>参与</w:t>
            </w:r>
            <w:r>
              <w:rPr>
                <w:rFonts w:hint="eastAsia" w:ascii="仿宋_GB2312" w:hAnsi="仿宋" w:eastAsia="仿宋_GB2312" w:cs="仿宋_GB2312"/>
                <w:color w:val="auto"/>
                <w:sz w:val="24"/>
                <w:szCs w:val="21"/>
                <w:highlight w:val="none"/>
              </w:rPr>
              <w:t>课堂问答的</w:t>
            </w:r>
            <w:r>
              <w:rPr>
                <w:rFonts w:ascii="仿宋_GB2312" w:hAnsi="仿宋" w:eastAsia="仿宋_GB2312" w:cs="仿宋_GB2312"/>
                <w:color w:val="auto"/>
                <w:sz w:val="24"/>
                <w:szCs w:val="21"/>
                <w:highlight w:val="none"/>
              </w:rPr>
              <w:t>次数自动</w:t>
            </w:r>
            <w:r>
              <w:rPr>
                <w:rFonts w:hint="eastAsia" w:ascii="仿宋_GB2312" w:hAnsi="仿宋" w:eastAsia="仿宋_GB2312" w:cs="仿宋_GB2312"/>
                <w:color w:val="auto"/>
                <w:sz w:val="24"/>
                <w:szCs w:val="21"/>
                <w:highlight w:val="none"/>
              </w:rPr>
              <w:t>纪录到</w:t>
            </w:r>
            <w:r>
              <w:rPr>
                <w:rFonts w:ascii="仿宋_GB2312" w:hAnsi="仿宋" w:eastAsia="仿宋_GB2312" w:cs="仿宋_GB2312"/>
                <w:color w:val="auto"/>
                <w:sz w:val="24"/>
                <w:szCs w:val="21"/>
                <w:highlight w:val="none"/>
              </w:rPr>
              <w:t>外语教学平台，</w:t>
            </w:r>
            <w:r>
              <w:rPr>
                <w:rFonts w:hint="eastAsia" w:ascii="仿宋_GB2312" w:hAnsi="仿宋" w:eastAsia="仿宋_GB2312" w:cs="仿宋_GB2312"/>
                <w:color w:val="auto"/>
                <w:sz w:val="24"/>
                <w:szCs w:val="21"/>
                <w:highlight w:val="none"/>
              </w:rPr>
              <w:t>作为平时成绩的数据</w:t>
            </w:r>
            <w:r>
              <w:rPr>
                <w:rFonts w:hint="eastAsia" w:ascii="仿宋_GB2312" w:hAnsi="仿宋" w:eastAsia="仿宋_GB2312" w:cs="仿宋_GB2312"/>
                <w:color w:val="auto"/>
                <w:sz w:val="24"/>
                <w:szCs w:val="21"/>
                <w:highlight w:val="none"/>
                <w:lang w:eastAsia="zh-CN"/>
              </w:rPr>
              <w:t>；</w:t>
            </w:r>
          </w:p>
          <w:p w14:paraId="4786C94D">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6</w:t>
            </w:r>
            <w:r>
              <w:rPr>
                <w:rFonts w:ascii="仿宋_GB2312" w:hAnsi="仿宋" w:eastAsia="仿宋_GB2312" w:cs="仿宋_GB2312"/>
                <w:color w:val="auto"/>
                <w:sz w:val="24"/>
                <w:szCs w:val="21"/>
                <w:highlight w:val="none"/>
              </w:rPr>
              <w:t>.2 单选</w:t>
            </w:r>
            <w:r>
              <w:rPr>
                <w:rFonts w:hint="eastAsia" w:ascii="仿宋_GB2312" w:hAnsi="仿宋" w:eastAsia="仿宋_GB2312" w:cs="仿宋_GB2312"/>
                <w:color w:val="auto"/>
                <w:sz w:val="24"/>
                <w:szCs w:val="21"/>
                <w:highlight w:val="none"/>
              </w:rPr>
              <w:t>题答题统计可以按答题选项以</w:t>
            </w:r>
            <w:r>
              <w:rPr>
                <w:rFonts w:ascii="仿宋_GB2312" w:hAnsi="仿宋" w:eastAsia="仿宋_GB2312" w:cs="仿宋_GB2312"/>
                <w:color w:val="auto"/>
                <w:sz w:val="24"/>
                <w:szCs w:val="21"/>
                <w:highlight w:val="none"/>
              </w:rPr>
              <w:t>柱状图</w:t>
            </w:r>
            <w:r>
              <w:rPr>
                <w:rFonts w:hint="eastAsia" w:ascii="仿宋_GB2312" w:hAnsi="仿宋" w:eastAsia="仿宋_GB2312" w:cs="仿宋_GB2312"/>
                <w:color w:val="auto"/>
                <w:sz w:val="24"/>
                <w:szCs w:val="21"/>
                <w:highlight w:val="none"/>
              </w:rPr>
              <w:t>的形式</w:t>
            </w:r>
            <w:r>
              <w:rPr>
                <w:rFonts w:ascii="仿宋_GB2312" w:hAnsi="仿宋" w:eastAsia="仿宋_GB2312" w:cs="仿宋_GB2312"/>
                <w:color w:val="auto"/>
                <w:sz w:val="24"/>
                <w:szCs w:val="21"/>
                <w:highlight w:val="none"/>
              </w:rPr>
              <w:t>显示；填空</w:t>
            </w:r>
            <w:r>
              <w:rPr>
                <w:rFonts w:hint="eastAsia" w:ascii="仿宋_GB2312" w:hAnsi="仿宋" w:eastAsia="仿宋_GB2312" w:cs="仿宋_GB2312"/>
                <w:color w:val="auto"/>
                <w:sz w:val="24"/>
                <w:szCs w:val="21"/>
                <w:highlight w:val="none"/>
              </w:rPr>
              <w:t>题答题统计可以按</w:t>
            </w:r>
            <w:r>
              <w:rPr>
                <w:rFonts w:ascii="仿宋_GB2312" w:hAnsi="仿宋" w:eastAsia="仿宋_GB2312" w:cs="仿宋_GB2312"/>
                <w:color w:val="auto"/>
                <w:sz w:val="24"/>
                <w:szCs w:val="21"/>
                <w:highlight w:val="none"/>
              </w:rPr>
              <w:t>词云</w:t>
            </w:r>
            <w:r>
              <w:rPr>
                <w:rFonts w:hint="eastAsia" w:ascii="仿宋_GB2312" w:hAnsi="仿宋" w:eastAsia="仿宋_GB2312" w:cs="仿宋_GB2312"/>
                <w:color w:val="auto"/>
                <w:sz w:val="24"/>
                <w:szCs w:val="21"/>
                <w:highlight w:val="none"/>
              </w:rPr>
              <w:t>的形式</w:t>
            </w:r>
            <w:r>
              <w:rPr>
                <w:rFonts w:ascii="仿宋_GB2312" w:hAnsi="仿宋" w:eastAsia="仿宋_GB2312" w:cs="仿宋_GB2312"/>
                <w:color w:val="auto"/>
                <w:sz w:val="24"/>
                <w:szCs w:val="21"/>
                <w:highlight w:val="none"/>
              </w:rPr>
              <w:t>显示；简答</w:t>
            </w:r>
            <w:r>
              <w:rPr>
                <w:rFonts w:hint="eastAsia" w:ascii="仿宋_GB2312" w:hAnsi="仿宋" w:eastAsia="仿宋_GB2312" w:cs="仿宋_GB2312"/>
                <w:color w:val="auto"/>
                <w:sz w:val="24"/>
                <w:szCs w:val="21"/>
                <w:highlight w:val="none"/>
              </w:rPr>
              <w:t>题和</w:t>
            </w:r>
            <w:r>
              <w:rPr>
                <w:rFonts w:ascii="仿宋_GB2312" w:hAnsi="仿宋" w:eastAsia="仿宋_GB2312" w:cs="仿宋_GB2312"/>
                <w:color w:val="auto"/>
                <w:sz w:val="24"/>
                <w:szCs w:val="21"/>
                <w:highlight w:val="none"/>
              </w:rPr>
              <w:t>录音</w:t>
            </w:r>
            <w:r>
              <w:rPr>
                <w:rFonts w:hint="eastAsia" w:ascii="仿宋_GB2312" w:hAnsi="仿宋" w:eastAsia="仿宋_GB2312" w:cs="仿宋_GB2312"/>
                <w:color w:val="auto"/>
                <w:sz w:val="24"/>
                <w:szCs w:val="21"/>
                <w:highlight w:val="none"/>
              </w:rPr>
              <w:t>题的答题统计可以按</w:t>
            </w:r>
            <w:r>
              <w:rPr>
                <w:rFonts w:ascii="仿宋_GB2312" w:hAnsi="仿宋" w:eastAsia="仿宋_GB2312" w:cs="仿宋_GB2312"/>
                <w:color w:val="auto"/>
                <w:sz w:val="24"/>
                <w:szCs w:val="21"/>
                <w:highlight w:val="none"/>
              </w:rPr>
              <w:t>卡片</w:t>
            </w:r>
            <w:r>
              <w:rPr>
                <w:rFonts w:hint="eastAsia" w:ascii="仿宋_GB2312" w:hAnsi="仿宋" w:eastAsia="仿宋_GB2312" w:cs="仿宋_GB2312"/>
                <w:color w:val="auto"/>
                <w:sz w:val="24"/>
                <w:szCs w:val="21"/>
                <w:highlight w:val="none"/>
              </w:rPr>
              <w:t>的形式</w:t>
            </w:r>
            <w:r>
              <w:rPr>
                <w:rFonts w:ascii="仿宋_GB2312" w:hAnsi="仿宋" w:eastAsia="仿宋_GB2312" w:cs="仿宋_GB2312"/>
                <w:color w:val="auto"/>
                <w:sz w:val="24"/>
                <w:szCs w:val="21"/>
                <w:highlight w:val="none"/>
              </w:rPr>
              <w:t>显示</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r>
              <w:rPr>
                <w:rFonts w:ascii="仿宋_GB2312" w:hAnsi="仿宋" w:eastAsia="仿宋_GB2312" w:cs="仿宋_GB2312"/>
                <w:b/>
                <w:bCs/>
                <w:color w:val="auto"/>
                <w:sz w:val="24"/>
                <w:szCs w:val="21"/>
                <w:highlight w:val="none"/>
              </w:rPr>
              <w:t xml:space="preserve"> </w:t>
            </w:r>
          </w:p>
          <w:p w14:paraId="61225FF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签到统计</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教师可以随时发起学生签到，学生签到结果自动记录到外语教学平台，作为平时成绩的数据</w:t>
            </w:r>
            <w:r>
              <w:rPr>
                <w:rFonts w:hint="eastAsia" w:ascii="仿宋_GB2312" w:hAnsi="仿宋" w:eastAsia="仿宋_GB2312" w:cs="仿宋_GB2312"/>
                <w:color w:val="auto"/>
                <w:sz w:val="24"/>
                <w:szCs w:val="21"/>
                <w:highlight w:val="none"/>
                <w:lang w:eastAsia="zh-CN"/>
              </w:rPr>
              <w:t>；</w:t>
            </w:r>
          </w:p>
          <w:p w14:paraId="1F3F28A1">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听写训练</w:t>
            </w:r>
          </w:p>
          <w:p w14:paraId="5493EBA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8.1 教师可以播放音视频素材，提供改错文本或对照文本，学生根据教师要求做听写、听力填空或听力改错训练，系统统一收集学生听写、听力填空或听力改错结果并汇入外语教学平台，形成课堂记录，供教师教研、学生回顾和教学研究；教师和学生均可导出记录；支持不在教室的远程学生参与听写训练</w:t>
            </w:r>
            <w:r>
              <w:rPr>
                <w:rFonts w:hint="eastAsia" w:ascii="仿宋_GB2312" w:hAnsi="仿宋" w:eastAsia="仿宋_GB2312" w:cs="仿宋_GB2312"/>
                <w:color w:val="auto"/>
                <w:sz w:val="24"/>
                <w:szCs w:val="21"/>
                <w:highlight w:val="none"/>
                <w:lang w:eastAsia="zh-CN"/>
              </w:rPr>
              <w:t>；</w:t>
            </w:r>
          </w:p>
          <w:p w14:paraId="2B8AE1D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8.2 训练过程中教师可实时查看学生提交进度，统一控制学生停止答题</w:t>
            </w:r>
            <w:r>
              <w:rPr>
                <w:rFonts w:hint="eastAsia" w:ascii="仿宋_GB2312" w:hAnsi="仿宋" w:eastAsia="仿宋_GB2312" w:cs="仿宋_GB2312"/>
                <w:color w:val="auto"/>
                <w:sz w:val="24"/>
                <w:szCs w:val="21"/>
                <w:highlight w:val="none"/>
                <w:lang w:eastAsia="zh-CN"/>
              </w:rPr>
              <w:t>；</w:t>
            </w:r>
          </w:p>
          <w:p w14:paraId="01BDA13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8.3 训练结束后系统自动批改，生成评价，统计错误数量；学生可查看自己的训练和系统批改结果</w:t>
            </w:r>
            <w:r>
              <w:rPr>
                <w:rFonts w:hint="eastAsia" w:ascii="仿宋_GB2312" w:hAnsi="仿宋" w:eastAsia="仿宋_GB2312" w:cs="仿宋_GB2312"/>
                <w:color w:val="auto"/>
                <w:sz w:val="24"/>
                <w:szCs w:val="21"/>
                <w:highlight w:val="none"/>
                <w:lang w:eastAsia="zh-CN"/>
              </w:rPr>
              <w:t>；</w:t>
            </w:r>
          </w:p>
          <w:p w14:paraId="13EAB91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8.4 训练结束后教师可任意选择学生讲评，界面显示学生训练和系统批改结果，支持学生结果标准文本对比，用不同颜色标记差异，包括新增和删减</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 xml:space="preserve"> </w:t>
            </w:r>
          </w:p>
          <w:p w14:paraId="520D099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9</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朗读训练</w:t>
            </w:r>
          </w:p>
          <w:p w14:paraId="7710C620">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9.1 教师提供朗读文本，学生根据教师要求做朗读训练，系统统一收集学生朗读结果并汇入外语教学平台，形成课堂记录，供教师教研、学生回顾和教学研究；教师和学生均可导出记录；支持不在教室的远程学生参与朗读训练</w:t>
            </w:r>
            <w:r>
              <w:rPr>
                <w:rFonts w:hint="eastAsia" w:ascii="仿宋_GB2312" w:hAnsi="仿宋" w:eastAsia="仿宋_GB2312" w:cs="仿宋_GB2312"/>
                <w:color w:val="auto"/>
                <w:sz w:val="24"/>
                <w:szCs w:val="21"/>
                <w:highlight w:val="none"/>
                <w:lang w:eastAsia="zh-CN"/>
              </w:rPr>
              <w:t>；</w:t>
            </w:r>
          </w:p>
          <w:p w14:paraId="1FD80F33">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9.2 训练过程中教师可实时查看学生提交进度，统一控制学生停止答题</w:t>
            </w:r>
            <w:r>
              <w:rPr>
                <w:rFonts w:hint="eastAsia" w:ascii="仿宋_GB2312" w:hAnsi="仿宋" w:eastAsia="仿宋_GB2312" w:cs="仿宋_GB2312"/>
                <w:color w:val="auto"/>
                <w:sz w:val="24"/>
                <w:szCs w:val="21"/>
                <w:highlight w:val="none"/>
                <w:lang w:eastAsia="zh-CN"/>
              </w:rPr>
              <w:t>；</w:t>
            </w:r>
          </w:p>
          <w:p w14:paraId="2FF2B53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9.3 学生朗读完成后，AI自动评测，基于发音、准确度、完整度等维度进行评分；支持以字词为单位的精细化评测，文本按照评分采用红、黄、绿等不同颜色表示，学生可以重复练习提升口语能力</w:t>
            </w:r>
            <w:r>
              <w:rPr>
                <w:rFonts w:hint="eastAsia" w:ascii="仿宋_GB2312" w:hAnsi="仿宋" w:eastAsia="仿宋_GB2312" w:cs="仿宋_GB2312"/>
                <w:color w:val="auto"/>
                <w:sz w:val="24"/>
                <w:szCs w:val="21"/>
                <w:highlight w:val="none"/>
                <w:lang w:eastAsia="zh-CN"/>
              </w:rPr>
              <w:t>；</w:t>
            </w:r>
          </w:p>
          <w:p w14:paraId="6AE7229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9.4 训练结束后教师可任意选择学生讲评；界面显示学生朗读音频和AI多维度评分；学生可以复听，自主播放自己的朗读训练录音</w:t>
            </w:r>
            <w:r>
              <w:rPr>
                <w:rFonts w:hint="eastAsia" w:ascii="仿宋_GB2312" w:hAnsi="仿宋" w:eastAsia="仿宋_GB2312" w:cs="仿宋_GB2312"/>
                <w:color w:val="auto"/>
                <w:sz w:val="24"/>
                <w:szCs w:val="21"/>
                <w:highlight w:val="none"/>
                <w:lang w:eastAsia="zh-CN"/>
              </w:rPr>
              <w:t>；</w:t>
            </w:r>
          </w:p>
          <w:p w14:paraId="3F1ABEE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10</w:t>
            </w:r>
            <w:r>
              <w:rPr>
                <w:rFonts w:hint="eastAsia" w:ascii="仿宋_GB2312" w:hAnsi="仿宋" w:eastAsia="仿宋_GB2312" w:cs="仿宋_GB2312"/>
                <w:color w:val="auto"/>
                <w:sz w:val="24"/>
                <w:szCs w:val="21"/>
                <w:highlight w:val="none"/>
                <w:lang w:val="en-US" w:eastAsia="zh-CN"/>
              </w:rPr>
              <w:t>.</w:t>
            </w:r>
            <w:r>
              <w:rPr>
                <w:rFonts w:ascii="仿宋_GB2312" w:hAnsi="仿宋" w:eastAsia="仿宋_GB2312" w:cs="仿宋_GB2312"/>
                <w:color w:val="auto"/>
                <w:sz w:val="24"/>
                <w:szCs w:val="21"/>
                <w:highlight w:val="none"/>
              </w:rPr>
              <w:t>口语</w:t>
            </w:r>
            <w:r>
              <w:rPr>
                <w:rFonts w:hint="eastAsia" w:ascii="仿宋_GB2312" w:hAnsi="仿宋" w:eastAsia="仿宋_GB2312" w:cs="仿宋_GB2312"/>
                <w:color w:val="auto"/>
                <w:sz w:val="24"/>
                <w:szCs w:val="21"/>
                <w:highlight w:val="none"/>
              </w:rPr>
              <w:t>练习</w:t>
            </w:r>
          </w:p>
          <w:p w14:paraId="1DDAB1AA">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w:t>
            </w:r>
            <w:r>
              <w:rPr>
                <w:rFonts w:ascii="仿宋_GB2312" w:hAnsi="仿宋" w:eastAsia="仿宋_GB2312" w:cs="仿宋_GB2312"/>
                <w:color w:val="auto"/>
                <w:sz w:val="24"/>
                <w:szCs w:val="21"/>
                <w:highlight w:val="none"/>
              </w:rPr>
              <w:t>.1 教师</w:t>
            </w:r>
            <w:r>
              <w:rPr>
                <w:rFonts w:hint="eastAsia" w:ascii="仿宋_GB2312" w:hAnsi="仿宋" w:eastAsia="仿宋_GB2312" w:cs="仿宋_GB2312"/>
                <w:color w:val="auto"/>
                <w:sz w:val="24"/>
                <w:szCs w:val="21"/>
                <w:highlight w:val="none"/>
              </w:rPr>
              <w:t>选择音频或视频课件，组织学生进行学生统一进行跟读练习、复述练习或口语问答练习等</w:t>
            </w:r>
            <w:r>
              <w:rPr>
                <w:rFonts w:hint="eastAsia" w:ascii="仿宋_GB2312" w:hAnsi="仿宋" w:eastAsia="仿宋_GB2312" w:cs="仿宋_GB2312"/>
                <w:color w:val="auto"/>
                <w:sz w:val="24"/>
                <w:szCs w:val="21"/>
                <w:highlight w:val="none"/>
                <w:lang w:eastAsia="zh-CN"/>
              </w:rPr>
              <w:t>；</w:t>
            </w:r>
          </w:p>
          <w:p w14:paraId="70A4FF6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10.2</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口语训练开始后，软件会自动录取学生的训练声音，训练结束后，教师可以回放学生录音，回放</w:t>
            </w:r>
            <w:r>
              <w:rPr>
                <w:rFonts w:ascii="仿宋_GB2312" w:hAnsi="仿宋" w:eastAsia="仿宋_GB2312" w:cs="仿宋_GB2312"/>
                <w:color w:val="auto"/>
                <w:sz w:val="24"/>
                <w:szCs w:val="21"/>
                <w:highlight w:val="none"/>
              </w:rPr>
              <w:t>录音</w:t>
            </w:r>
            <w:r>
              <w:rPr>
                <w:rFonts w:hint="eastAsia" w:ascii="仿宋_GB2312" w:hAnsi="仿宋" w:eastAsia="仿宋_GB2312" w:cs="仿宋_GB2312"/>
                <w:color w:val="auto"/>
                <w:sz w:val="24"/>
                <w:szCs w:val="21"/>
                <w:highlight w:val="none"/>
              </w:rPr>
              <w:t>可以显示</w:t>
            </w:r>
            <w:r>
              <w:rPr>
                <w:rFonts w:ascii="仿宋_GB2312" w:hAnsi="仿宋" w:eastAsia="仿宋_GB2312" w:cs="仿宋_GB2312"/>
                <w:color w:val="auto"/>
                <w:sz w:val="24"/>
                <w:szCs w:val="21"/>
                <w:highlight w:val="none"/>
              </w:rPr>
              <w:t>波形，</w:t>
            </w:r>
            <w:r>
              <w:rPr>
                <w:rFonts w:hint="eastAsia" w:ascii="仿宋_GB2312" w:hAnsi="仿宋" w:eastAsia="仿宋_GB2312" w:cs="仿宋_GB2312"/>
                <w:color w:val="auto"/>
                <w:sz w:val="24"/>
                <w:szCs w:val="21"/>
                <w:highlight w:val="none"/>
              </w:rPr>
              <w:t>通过波形教师可以识别学生的有效录音部分，进行快速回放并进行点评</w:t>
            </w:r>
            <w:r>
              <w:rPr>
                <w:rFonts w:hint="eastAsia" w:ascii="仿宋_GB2312" w:hAnsi="仿宋" w:eastAsia="仿宋_GB2312" w:cs="仿宋_GB2312"/>
                <w:color w:val="auto"/>
                <w:sz w:val="24"/>
                <w:szCs w:val="21"/>
                <w:highlight w:val="none"/>
                <w:lang w:eastAsia="zh-CN"/>
              </w:rPr>
              <w:t>；</w:t>
            </w:r>
          </w:p>
          <w:p w14:paraId="185F70C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10.3口语练习开始后，教师可以随时监听</w:t>
            </w:r>
            <w:r>
              <w:rPr>
                <w:rFonts w:ascii="仿宋_GB2312" w:hAnsi="仿宋" w:eastAsia="仿宋_GB2312" w:cs="仿宋_GB2312"/>
                <w:color w:val="auto"/>
                <w:sz w:val="24"/>
                <w:szCs w:val="21"/>
                <w:highlight w:val="none"/>
              </w:rPr>
              <w:t>学生</w:t>
            </w:r>
            <w:r>
              <w:rPr>
                <w:rFonts w:hint="eastAsia" w:ascii="仿宋_GB2312" w:hAnsi="仿宋" w:eastAsia="仿宋_GB2312" w:cs="仿宋_GB2312"/>
                <w:color w:val="auto"/>
                <w:sz w:val="24"/>
                <w:szCs w:val="21"/>
                <w:highlight w:val="none"/>
              </w:rPr>
              <w:t>，监听时可听到学生训练声音和课件声音并可以通过标记按钮添加监听</w:t>
            </w:r>
            <w:r>
              <w:rPr>
                <w:rFonts w:ascii="仿宋_GB2312" w:hAnsi="仿宋" w:eastAsia="仿宋_GB2312" w:cs="仿宋_GB2312"/>
                <w:color w:val="auto"/>
                <w:sz w:val="24"/>
                <w:szCs w:val="21"/>
                <w:highlight w:val="none"/>
              </w:rPr>
              <w:t>标记</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训练结束后</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教师</w:t>
            </w:r>
            <w:r>
              <w:rPr>
                <w:rFonts w:hint="eastAsia" w:ascii="仿宋_GB2312" w:hAnsi="仿宋" w:eastAsia="仿宋_GB2312" w:cs="仿宋_GB2312"/>
                <w:color w:val="auto"/>
                <w:sz w:val="24"/>
                <w:szCs w:val="21"/>
                <w:highlight w:val="none"/>
              </w:rPr>
              <w:t>可以回放</w:t>
            </w:r>
            <w:r>
              <w:rPr>
                <w:rFonts w:ascii="仿宋_GB2312" w:hAnsi="仿宋" w:eastAsia="仿宋_GB2312" w:cs="仿宋_GB2312"/>
                <w:color w:val="auto"/>
                <w:sz w:val="24"/>
                <w:szCs w:val="21"/>
                <w:highlight w:val="none"/>
              </w:rPr>
              <w:t>学生</w:t>
            </w:r>
            <w:r>
              <w:rPr>
                <w:rFonts w:hint="eastAsia" w:ascii="仿宋_GB2312" w:hAnsi="仿宋" w:eastAsia="仿宋_GB2312" w:cs="仿宋_GB2312"/>
                <w:color w:val="auto"/>
                <w:sz w:val="24"/>
                <w:szCs w:val="21"/>
                <w:highlight w:val="none"/>
              </w:rPr>
              <w:t>的训练录音，被添加过监听标记的学生回放录音界面里，可以看到监听标记，方便教师从标记位置快速播放录音并进行点评</w:t>
            </w:r>
            <w:r>
              <w:rPr>
                <w:rFonts w:hint="eastAsia" w:ascii="仿宋_GB2312" w:hAnsi="仿宋" w:eastAsia="仿宋_GB2312" w:cs="仿宋_GB2312"/>
                <w:color w:val="auto"/>
                <w:sz w:val="24"/>
                <w:szCs w:val="21"/>
                <w:highlight w:val="none"/>
                <w:lang w:eastAsia="zh-CN"/>
              </w:rPr>
              <w:t>；</w:t>
            </w:r>
          </w:p>
          <w:p w14:paraId="75910EF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10.4</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教师点评学生录音后，可以让</w:t>
            </w:r>
            <w:r>
              <w:rPr>
                <w:rFonts w:ascii="仿宋_GB2312" w:hAnsi="仿宋" w:eastAsia="仿宋_GB2312" w:cs="仿宋_GB2312"/>
                <w:color w:val="auto"/>
                <w:sz w:val="24"/>
                <w:szCs w:val="21"/>
                <w:highlight w:val="none"/>
              </w:rPr>
              <w:t>学生</w:t>
            </w:r>
            <w:r>
              <w:rPr>
                <w:rFonts w:hint="eastAsia" w:ascii="仿宋_GB2312" w:hAnsi="仿宋" w:eastAsia="仿宋_GB2312" w:cs="仿宋_GB2312"/>
                <w:color w:val="auto"/>
                <w:sz w:val="24"/>
                <w:szCs w:val="21"/>
                <w:highlight w:val="none"/>
              </w:rPr>
              <w:t>各自</w:t>
            </w:r>
            <w:r>
              <w:rPr>
                <w:rFonts w:ascii="仿宋_GB2312" w:hAnsi="仿宋" w:eastAsia="仿宋_GB2312" w:cs="仿宋_GB2312"/>
                <w:color w:val="auto"/>
                <w:sz w:val="24"/>
                <w:szCs w:val="21"/>
                <w:highlight w:val="none"/>
              </w:rPr>
              <w:t>复听</w:t>
            </w:r>
            <w:r>
              <w:rPr>
                <w:rFonts w:hint="eastAsia" w:ascii="仿宋_GB2312" w:hAnsi="仿宋" w:eastAsia="仿宋_GB2312" w:cs="仿宋_GB2312"/>
                <w:color w:val="auto"/>
                <w:sz w:val="24"/>
                <w:szCs w:val="21"/>
                <w:highlight w:val="none"/>
              </w:rPr>
              <w:t>自己的</w:t>
            </w:r>
            <w:r>
              <w:rPr>
                <w:rFonts w:ascii="仿宋_GB2312" w:hAnsi="仿宋" w:eastAsia="仿宋_GB2312" w:cs="仿宋_GB2312"/>
                <w:color w:val="auto"/>
                <w:sz w:val="24"/>
                <w:szCs w:val="21"/>
                <w:highlight w:val="none"/>
              </w:rPr>
              <w:t>训练录音</w:t>
            </w:r>
            <w:r>
              <w:rPr>
                <w:rFonts w:hint="eastAsia" w:ascii="仿宋_GB2312" w:hAnsi="仿宋" w:eastAsia="仿宋_GB2312" w:cs="仿宋_GB2312"/>
                <w:color w:val="auto"/>
                <w:sz w:val="24"/>
                <w:szCs w:val="21"/>
                <w:highlight w:val="none"/>
                <w:lang w:eastAsia="zh-CN"/>
              </w:rPr>
              <w:t>；</w:t>
            </w:r>
          </w:p>
          <w:p w14:paraId="05E881F9">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5</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支持</w:t>
            </w:r>
            <w:r>
              <w:rPr>
                <w:rFonts w:ascii="仿宋_GB2312" w:hAnsi="仿宋" w:eastAsia="仿宋_GB2312" w:cs="仿宋_GB2312"/>
                <w:color w:val="auto"/>
                <w:sz w:val="24"/>
                <w:szCs w:val="21"/>
                <w:highlight w:val="none"/>
              </w:rPr>
              <w:t>教师和学生导出</w:t>
            </w:r>
            <w:r>
              <w:rPr>
                <w:rFonts w:hint="eastAsia" w:ascii="仿宋_GB2312" w:hAnsi="仿宋" w:eastAsia="仿宋_GB2312" w:cs="仿宋_GB2312"/>
                <w:color w:val="auto"/>
                <w:sz w:val="24"/>
                <w:szCs w:val="21"/>
                <w:highlight w:val="none"/>
              </w:rPr>
              <w:t>训练</w:t>
            </w:r>
            <w:r>
              <w:rPr>
                <w:rFonts w:ascii="仿宋_GB2312" w:hAnsi="仿宋" w:eastAsia="仿宋_GB2312" w:cs="仿宋_GB2312"/>
                <w:color w:val="auto"/>
                <w:sz w:val="24"/>
                <w:szCs w:val="21"/>
                <w:highlight w:val="none"/>
              </w:rPr>
              <w:t>录音</w:t>
            </w:r>
            <w:r>
              <w:rPr>
                <w:rFonts w:hint="eastAsia" w:ascii="仿宋_GB2312" w:hAnsi="仿宋" w:eastAsia="仿宋_GB2312" w:cs="仿宋_GB2312"/>
                <w:color w:val="auto"/>
                <w:sz w:val="24"/>
                <w:szCs w:val="21"/>
                <w:highlight w:val="none"/>
                <w:lang w:eastAsia="zh-CN"/>
              </w:rPr>
              <w:t>；</w:t>
            </w:r>
          </w:p>
          <w:p w14:paraId="33C0F98E">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10.6</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学生口语练习的录音会自动记录到</w:t>
            </w:r>
            <w:r>
              <w:rPr>
                <w:rFonts w:ascii="仿宋_GB2312" w:hAnsi="仿宋" w:eastAsia="仿宋_GB2312" w:cs="仿宋_GB2312"/>
                <w:color w:val="auto"/>
                <w:sz w:val="24"/>
                <w:szCs w:val="21"/>
                <w:highlight w:val="none"/>
              </w:rPr>
              <w:t>外语教学平台，</w:t>
            </w:r>
            <w:r>
              <w:rPr>
                <w:rFonts w:hint="eastAsia" w:ascii="仿宋_GB2312" w:hAnsi="仿宋" w:eastAsia="仿宋_GB2312" w:cs="仿宋_GB2312"/>
                <w:color w:val="auto"/>
                <w:sz w:val="24"/>
                <w:szCs w:val="21"/>
                <w:highlight w:val="none"/>
              </w:rPr>
              <w:t>教师在课后可以通过登入教学平台回顾本次练习的学生录音</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5A0BD13B">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主题讨论</w:t>
            </w:r>
          </w:p>
          <w:p w14:paraId="47719D34">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11</w:t>
            </w:r>
            <w:r>
              <w:rPr>
                <w:rFonts w:ascii="仿宋_GB2312" w:hAnsi="仿宋" w:eastAsia="仿宋_GB2312" w:cs="仿宋_GB2312"/>
                <w:color w:val="auto"/>
                <w:sz w:val="24"/>
                <w:szCs w:val="21"/>
                <w:highlight w:val="none"/>
              </w:rPr>
              <w:t>.1 教师</w:t>
            </w:r>
            <w:r>
              <w:rPr>
                <w:rFonts w:hint="eastAsia" w:ascii="仿宋_GB2312" w:hAnsi="仿宋" w:eastAsia="仿宋_GB2312" w:cs="仿宋_GB2312"/>
                <w:color w:val="auto"/>
                <w:sz w:val="24"/>
                <w:szCs w:val="21"/>
                <w:highlight w:val="none"/>
              </w:rPr>
              <w:t>可以</w:t>
            </w:r>
            <w:r>
              <w:rPr>
                <w:rFonts w:ascii="仿宋_GB2312" w:hAnsi="仿宋" w:eastAsia="仿宋_GB2312" w:cs="仿宋_GB2312"/>
                <w:color w:val="auto"/>
                <w:sz w:val="24"/>
                <w:szCs w:val="21"/>
                <w:highlight w:val="none"/>
              </w:rPr>
              <w:t>组织学生</w:t>
            </w:r>
            <w:r>
              <w:rPr>
                <w:rFonts w:hint="eastAsia" w:ascii="仿宋_GB2312" w:hAnsi="仿宋" w:eastAsia="仿宋_GB2312" w:cs="仿宋_GB2312"/>
                <w:color w:val="auto"/>
                <w:sz w:val="24"/>
                <w:szCs w:val="21"/>
                <w:highlight w:val="none"/>
              </w:rPr>
              <w:t>进行分组，并可设置讨论主题</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w:t>
            </w:r>
            <w:r>
              <w:rPr>
                <w:rFonts w:ascii="仿宋_GB2312" w:hAnsi="仿宋" w:eastAsia="仿宋_GB2312" w:cs="仿宋_GB2312"/>
                <w:color w:val="auto"/>
                <w:sz w:val="24"/>
                <w:szCs w:val="21"/>
                <w:highlight w:val="none"/>
              </w:rPr>
              <w:t>随机</w:t>
            </w:r>
            <w:r>
              <w:rPr>
                <w:rFonts w:hint="eastAsia" w:ascii="仿宋_GB2312" w:hAnsi="仿宋" w:eastAsia="仿宋_GB2312" w:cs="仿宋_GB2312"/>
                <w:color w:val="auto"/>
                <w:sz w:val="24"/>
                <w:szCs w:val="21"/>
                <w:highlight w:val="none"/>
              </w:rPr>
              <w:t>分组，教师也可以手动指定学生分组</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同组成员可以进行</w:t>
            </w:r>
            <w:r>
              <w:rPr>
                <w:rFonts w:ascii="仿宋_GB2312" w:hAnsi="仿宋" w:eastAsia="仿宋_GB2312" w:cs="仿宋_GB2312"/>
                <w:color w:val="auto"/>
                <w:sz w:val="24"/>
                <w:szCs w:val="21"/>
                <w:highlight w:val="none"/>
              </w:rPr>
              <w:t>多人双向讨论，可以看到同组</w:t>
            </w:r>
            <w:r>
              <w:rPr>
                <w:rFonts w:hint="eastAsia" w:ascii="仿宋_GB2312" w:hAnsi="仿宋" w:eastAsia="仿宋_GB2312" w:cs="仿宋_GB2312"/>
                <w:color w:val="auto"/>
                <w:sz w:val="24"/>
                <w:szCs w:val="21"/>
                <w:highlight w:val="none"/>
              </w:rPr>
              <w:t>成员</w:t>
            </w:r>
            <w:r>
              <w:rPr>
                <w:rFonts w:ascii="仿宋_GB2312" w:hAnsi="仿宋" w:eastAsia="仿宋_GB2312" w:cs="仿宋_GB2312"/>
                <w:color w:val="auto"/>
                <w:sz w:val="24"/>
                <w:szCs w:val="21"/>
                <w:highlight w:val="none"/>
              </w:rPr>
              <w:t>的</w:t>
            </w:r>
            <w:r>
              <w:rPr>
                <w:rFonts w:hint="eastAsia" w:ascii="仿宋_GB2312" w:hAnsi="仿宋" w:eastAsia="仿宋_GB2312" w:cs="仿宋_GB2312"/>
                <w:color w:val="auto"/>
                <w:sz w:val="24"/>
                <w:szCs w:val="21"/>
                <w:highlight w:val="none"/>
              </w:rPr>
              <w:t>摄像头画面</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教师可加入任一个小组参与讨论</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7911F1D0">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11</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2</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小</w:t>
            </w:r>
            <w:r>
              <w:rPr>
                <w:rFonts w:ascii="仿宋_GB2312" w:hAnsi="仿宋" w:eastAsia="仿宋_GB2312" w:cs="仿宋_GB2312"/>
                <w:color w:val="auto"/>
                <w:sz w:val="24"/>
                <w:szCs w:val="21"/>
                <w:highlight w:val="none"/>
              </w:rPr>
              <w:t>组长可以在小组内</w:t>
            </w:r>
            <w:r>
              <w:rPr>
                <w:rFonts w:hint="eastAsia" w:ascii="仿宋_GB2312" w:hAnsi="仿宋" w:eastAsia="仿宋_GB2312" w:cs="仿宋_GB2312"/>
                <w:color w:val="auto"/>
                <w:sz w:val="24"/>
                <w:szCs w:val="21"/>
                <w:highlight w:val="none"/>
              </w:rPr>
              <w:t>进行</w:t>
            </w:r>
            <w:r>
              <w:rPr>
                <w:rFonts w:ascii="仿宋_GB2312" w:hAnsi="仿宋" w:eastAsia="仿宋_GB2312" w:cs="仿宋_GB2312"/>
                <w:color w:val="auto"/>
                <w:sz w:val="24"/>
                <w:szCs w:val="21"/>
                <w:highlight w:val="none"/>
              </w:rPr>
              <w:t>屏幕广播</w:t>
            </w:r>
            <w:r>
              <w:rPr>
                <w:rFonts w:hint="eastAsia" w:ascii="仿宋_GB2312" w:hAnsi="仿宋" w:eastAsia="仿宋_GB2312" w:cs="仿宋_GB2312"/>
                <w:color w:val="auto"/>
                <w:sz w:val="24"/>
                <w:szCs w:val="21"/>
                <w:highlight w:val="none"/>
              </w:rPr>
              <w:t>示范</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组员可以</w:t>
            </w:r>
            <w:r>
              <w:rPr>
                <w:rFonts w:hint="eastAsia" w:ascii="仿宋_GB2312" w:hAnsi="仿宋" w:eastAsia="仿宋_GB2312" w:cs="仿宋_GB2312"/>
                <w:color w:val="auto"/>
                <w:sz w:val="24"/>
                <w:szCs w:val="21"/>
                <w:highlight w:val="none"/>
              </w:rPr>
              <w:t>把自己的文件发送到小组群中进行共享</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小</w:t>
            </w:r>
            <w:r>
              <w:rPr>
                <w:rFonts w:ascii="仿宋_GB2312" w:hAnsi="仿宋" w:eastAsia="仿宋_GB2312" w:cs="仿宋_GB2312"/>
                <w:color w:val="auto"/>
                <w:sz w:val="24"/>
                <w:szCs w:val="21"/>
                <w:highlight w:val="none"/>
              </w:rPr>
              <w:t>组长可以把组长角色转让给组内的其他成员</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0E9D2381">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11.3</w:t>
            </w:r>
            <w:r>
              <w:rPr>
                <w:rFonts w:ascii="仿宋_GB2312" w:hAnsi="仿宋" w:eastAsia="仿宋_GB2312" w:cs="仿宋_GB2312"/>
                <w:color w:val="auto"/>
                <w:sz w:val="24"/>
                <w:szCs w:val="21"/>
                <w:highlight w:val="none"/>
              </w:rPr>
              <w:t xml:space="preserve"> 小组讨论过程中</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教师可监听任一个小组</w:t>
            </w:r>
            <w:r>
              <w:rPr>
                <w:rFonts w:hint="eastAsia" w:ascii="仿宋_GB2312" w:hAnsi="仿宋" w:eastAsia="仿宋_GB2312" w:cs="仿宋_GB2312"/>
                <w:color w:val="auto"/>
                <w:sz w:val="24"/>
                <w:szCs w:val="21"/>
                <w:highlight w:val="none"/>
              </w:rPr>
              <w:t>了解讨论实况</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可以通过标记按钮添加监听</w:t>
            </w:r>
            <w:r>
              <w:rPr>
                <w:rFonts w:ascii="仿宋_GB2312" w:hAnsi="仿宋" w:eastAsia="仿宋_GB2312" w:cs="仿宋_GB2312"/>
                <w:color w:val="auto"/>
                <w:sz w:val="24"/>
                <w:szCs w:val="21"/>
                <w:highlight w:val="none"/>
              </w:rPr>
              <w:t>标记</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讨论结束后教师可</w:t>
            </w:r>
            <w:r>
              <w:rPr>
                <w:rFonts w:hint="eastAsia" w:ascii="仿宋_GB2312" w:hAnsi="仿宋" w:eastAsia="仿宋_GB2312" w:cs="仿宋_GB2312"/>
                <w:color w:val="auto"/>
                <w:sz w:val="24"/>
                <w:szCs w:val="21"/>
                <w:highlight w:val="none"/>
              </w:rPr>
              <w:t>回放某个</w:t>
            </w:r>
            <w:r>
              <w:rPr>
                <w:rFonts w:ascii="仿宋_GB2312" w:hAnsi="仿宋" w:eastAsia="仿宋_GB2312" w:cs="仿宋_GB2312"/>
                <w:color w:val="auto"/>
                <w:sz w:val="24"/>
                <w:szCs w:val="21"/>
                <w:highlight w:val="none"/>
              </w:rPr>
              <w:t>小组</w:t>
            </w:r>
            <w:r>
              <w:rPr>
                <w:rFonts w:hint="eastAsia" w:ascii="仿宋_GB2312" w:hAnsi="仿宋" w:eastAsia="仿宋_GB2312" w:cs="仿宋_GB2312"/>
                <w:color w:val="auto"/>
                <w:sz w:val="24"/>
                <w:szCs w:val="21"/>
                <w:highlight w:val="none"/>
              </w:rPr>
              <w:t>的讨论录音</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回放</w:t>
            </w:r>
            <w:r>
              <w:rPr>
                <w:rFonts w:ascii="仿宋_GB2312" w:hAnsi="仿宋" w:eastAsia="仿宋_GB2312" w:cs="仿宋_GB2312"/>
                <w:color w:val="auto"/>
                <w:sz w:val="24"/>
                <w:szCs w:val="21"/>
                <w:highlight w:val="none"/>
              </w:rPr>
              <w:t>录音</w:t>
            </w:r>
            <w:r>
              <w:rPr>
                <w:rFonts w:hint="eastAsia" w:ascii="仿宋_GB2312" w:hAnsi="仿宋" w:eastAsia="仿宋_GB2312" w:cs="仿宋_GB2312"/>
                <w:color w:val="auto"/>
                <w:sz w:val="24"/>
                <w:szCs w:val="21"/>
                <w:highlight w:val="none"/>
              </w:rPr>
              <w:t>可以显示</w:t>
            </w:r>
            <w:r>
              <w:rPr>
                <w:rFonts w:ascii="仿宋_GB2312" w:hAnsi="仿宋" w:eastAsia="仿宋_GB2312" w:cs="仿宋_GB2312"/>
                <w:color w:val="auto"/>
                <w:sz w:val="24"/>
                <w:szCs w:val="21"/>
                <w:highlight w:val="none"/>
              </w:rPr>
              <w:t>波形，</w:t>
            </w:r>
            <w:r>
              <w:rPr>
                <w:rFonts w:hint="eastAsia" w:ascii="仿宋_GB2312" w:hAnsi="仿宋" w:eastAsia="仿宋_GB2312" w:cs="仿宋_GB2312"/>
                <w:color w:val="auto"/>
                <w:sz w:val="24"/>
                <w:szCs w:val="21"/>
                <w:highlight w:val="none"/>
              </w:rPr>
              <w:t>通过波形教师可以识别学生讨论的有效录音部分进行快速回放并进行点评</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被添加过监听标记的回放录音界面里，可以看到监听标记，方便教师从标记位置快速播放录音并进行点评</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2607F54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11</w:t>
            </w:r>
            <w:r>
              <w:rPr>
                <w:rFonts w:ascii="仿宋_GB2312" w:hAnsi="仿宋" w:eastAsia="仿宋_GB2312" w:cs="仿宋_GB2312"/>
                <w:color w:val="auto"/>
                <w:sz w:val="24"/>
                <w:szCs w:val="21"/>
                <w:highlight w:val="none"/>
              </w:rPr>
              <w:t>.4各小组的讨论录音</w:t>
            </w:r>
            <w:r>
              <w:rPr>
                <w:rFonts w:hint="eastAsia" w:ascii="仿宋_GB2312" w:hAnsi="仿宋" w:eastAsia="仿宋_GB2312" w:cs="仿宋_GB2312"/>
                <w:color w:val="auto"/>
                <w:sz w:val="24"/>
                <w:szCs w:val="21"/>
                <w:highlight w:val="none"/>
              </w:rPr>
              <w:t>会自动记录到</w:t>
            </w:r>
            <w:r>
              <w:rPr>
                <w:rFonts w:ascii="仿宋_GB2312" w:hAnsi="仿宋" w:eastAsia="仿宋_GB2312" w:cs="仿宋_GB2312"/>
                <w:color w:val="auto"/>
                <w:sz w:val="24"/>
                <w:szCs w:val="21"/>
                <w:highlight w:val="none"/>
              </w:rPr>
              <w:t>外语教学平台形成课堂记录，供教师回顾</w:t>
            </w:r>
            <w:r>
              <w:rPr>
                <w:rFonts w:hint="eastAsia" w:ascii="仿宋_GB2312" w:hAnsi="仿宋" w:eastAsia="仿宋_GB2312" w:cs="仿宋_GB2312"/>
                <w:color w:val="auto"/>
                <w:sz w:val="24"/>
                <w:szCs w:val="21"/>
                <w:highlight w:val="none"/>
              </w:rPr>
              <w:t>、讲评或</w:t>
            </w:r>
            <w:r>
              <w:rPr>
                <w:rFonts w:ascii="仿宋_GB2312" w:hAnsi="仿宋" w:eastAsia="仿宋_GB2312" w:cs="仿宋_GB2312"/>
                <w:color w:val="auto"/>
                <w:sz w:val="24"/>
                <w:szCs w:val="21"/>
                <w:highlight w:val="none"/>
              </w:rPr>
              <w:t>教学研究</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教师和学生均可导出录音</w:t>
            </w:r>
            <w:r>
              <w:rPr>
                <w:rFonts w:hint="eastAsia" w:ascii="仿宋_GB2312" w:hAnsi="仿宋" w:eastAsia="仿宋_GB2312" w:cs="仿宋_GB2312"/>
                <w:color w:val="auto"/>
                <w:sz w:val="24"/>
                <w:szCs w:val="21"/>
                <w:highlight w:val="none"/>
                <w:lang w:eastAsia="zh-CN"/>
              </w:rPr>
              <w:t>；</w:t>
            </w:r>
          </w:p>
          <w:p w14:paraId="12B59C0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翻译</w:t>
            </w:r>
            <w:r>
              <w:rPr>
                <w:rFonts w:ascii="仿宋_GB2312" w:hAnsi="仿宋" w:eastAsia="仿宋_GB2312" w:cs="仿宋_GB2312"/>
                <w:color w:val="auto"/>
                <w:sz w:val="24"/>
                <w:szCs w:val="21"/>
                <w:highlight w:val="none"/>
              </w:rPr>
              <w:t>训练</w:t>
            </w:r>
          </w:p>
          <w:p w14:paraId="56B16397">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hint="default" w:ascii="仿宋_GB2312" w:hAnsi="仿宋" w:eastAsia="仿宋_GB2312" w:cs="仿宋_GB2312"/>
                <w:color w:val="auto"/>
                <w:sz w:val="24"/>
                <w:szCs w:val="21"/>
                <w:highlight w:val="none"/>
                <w:lang w:val="en-US"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2</w:t>
            </w:r>
            <w:r>
              <w:rPr>
                <w:rFonts w:ascii="仿宋_GB2312" w:hAnsi="仿宋" w:eastAsia="仿宋_GB2312" w:cs="仿宋_GB2312"/>
                <w:color w:val="auto"/>
                <w:sz w:val="24"/>
                <w:szCs w:val="21"/>
                <w:highlight w:val="none"/>
              </w:rPr>
              <w:t>.1 教师选取</w:t>
            </w:r>
            <w:r>
              <w:rPr>
                <w:rFonts w:hint="eastAsia" w:ascii="仿宋_GB2312" w:hAnsi="仿宋" w:eastAsia="仿宋_GB2312" w:cs="仿宋_GB2312"/>
                <w:color w:val="auto"/>
                <w:sz w:val="24"/>
                <w:szCs w:val="21"/>
                <w:highlight w:val="none"/>
              </w:rPr>
              <w:t>笔译原文</w:t>
            </w:r>
            <w:r>
              <w:rPr>
                <w:rFonts w:ascii="仿宋_GB2312" w:hAnsi="仿宋" w:eastAsia="仿宋_GB2312" w:cs="仿宋_GB2312"/>
                <w:color w:val="auto"/>
                <w:sz w:val="24"/>
                <w:szCs w:val="21"/>
                <w:highlight w:val="none"/>
              </w:rPr>
              <w:t>分发给学生，</w:t>
            </w:r>
            <w:r>
              <w:rPr>
                <w:rFonts w:hint="eastAsia" w:ascii="仿宋_GB2312" w:hAnsi="仿宋" w:eastAsia="仿宋_GB2312" w:cs="仿宋_GB2312"/>
                <w:color w:val="auto"/>
                <w:sz w:val="24"/>
                <w:szCs w:val="21"/>
                <w:highlight w:val="none"/>
              </w:rPr>
              <w:t>学生对照翻译原文全屏撰写译文</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教师可</w:t>
            </w:r>
            <w:r>
              <w:rPr>
                <w:rFonts w:ascii="仿宋_GB2312" w:hAnsi="仿宋" w:eastAsia="仿宋_GB2312" w:cs="仿宋_GB2312"/>
                <w:color w:val="auto"/>
                <w:sz w:val="24"/>
                <w:szCs w:val="21"/>
                <w:highlight w:val="none"/>
              </w:rPr>
              <w:t>统一收集学生</w:t>
            </w:r>
            <w:r>
              <w:rPr>
                <w:rFonts w:hint="eastAsia" w:ascii="仿宋_GB2312" w:hAnsi="仿宋" w:eastAsia="仿宋_GB2312" w:cs="仿宋_GB2312"/>
                <w:color w:val="auto"/>
                <w:sz w:val="24"/>
                <w:szCs w:val="21"/>
                <w:highlight w:val="none"/>
              </w:rPr>
              <w:t>翻译文稿进行</w:t>
            </w:r>
            <w:r>
              <w:rPr>
                <w:rFonts w:ascii="仿宋_GB2312" w:hAnsi="仿宋" w:eastAsia="仿宋_GB2312" w:cs="仿宋_GB2312"/>
                <w:color w:val="auto"/>
                <w:sz w:val="24"/>
                <w:szCs w:val="21"/>
                <w:highlight w:val="none"/>
              </w:rPr>
              <w:t>讲评</w:t>
            </w:r>
            <w:r>
              <w:rPr>
                <w:rFonts w:hint="eastAsia" w:ascii="仿宋_GB2312" w:hAnsi="仿宋" w:eastAsia="仿宋_GB2312" w:cs="仿宋_GB2312"/>
                <w:color w:val="auto"/>
                <w:sz w:val="24"/>
                <w:szCs w:val="21"/>
                <w:highlight w:val="none"/>
              </w:rPr>
              <w:t>，讲评时学生可复查自己提交的译文</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支持不在教室的远程学生参与</w:t>
            </w:r>
            <w:r>
              <w:rPr>
                <w:rFonts w:hint="eastAsia" w:ascii="仿宋_GB2312" w:hAnsi="仿宋" w:eastAsia="仿宋_GB2312" w:cs="仿宋_GB2312"/>
                <w:color w:val="auto"/>
                <w:sz w:val="24"/>
                <w:szCs w:val="21"/>
                <w:highlight w:val="none"/>
              </w:rPr>
              <w:t>翻译</w:t>
            </w:r>
            <w:r>
              <w:rPr>
                <w:rFonts w:ascii="仿宋_GB2312" w:hAnsi="仿宋" w:eastAsia="仿宋_GB2312" w:cs="仿宋_GB2312"/>
                <w:color w:val="auto"/>
                <w:sz w:val="24"/>
                <w:szCs w:val="21"/>
                <w:highlight w:val="none"/>
              </w:rPr>
              <w:t>训练</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训练全过程数据自动</w:t>
            </w:r>
            <w:r>
              <w:rPr>
                <w:rFonts w:hint="eastAsia" w:ascii="仿宋_GB2312" w:hAnsi="仿宋" w:eastAsia="仿宋_GB2312" w:cs="仿宋_GB2312"/>
                <w:color w:val="auto"/>
                <w:sz w:val="24"/>
                <w:szCs w:val="21"/>
                <w:highlight w:val="none"/>
              </w:rPr>
              <w:t>记录到</w:t>
            </w:r>
            <w:r>
              <w:rPr>
                <w:rFonts w:ascii="仿宋_GB2312" w:hAnsi="仿宋" w:eastAsia="仿宋_GB2312" w:cs="仿宋_GB2312"/>
                <w:color w:val="auto"/>
                <w:sz w:val="24"/>
                <w:szCs w:val="21"/>
                <w:highlight w:val="none"/>
              </w:rPr>
              <w:t>外语教学平台，形成训练记录</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教师和学生均可导出训练记录</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621BE2C5">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2</w:t>
            </w:r>
            <w:r>
              <w:rPr>
                <w:rFonts w:ascii="仿宋_GB2312" w:hAnsi="仿宋" w:eastAsia="仿宋_GB2312" w:cs="仿宋_GB2312"/>
                <w:color w:val="auto"/>
                <w:sz w:val="24"/>
                <w:szCs w:val="21"/>
                <w:highlight w:val="none"/>
              </w:rPr>
              <w:t>.2 训练过程中教师可实时查看学生提交进度，统一控制学生</w:t>
            </w:r>
            <w:r>
              <w:rPr>
                <w:rFonts w:hint="eastAsia" w:ascii="仿宋_GB2312" w:hAnsi="仿宋" w:eastAsia="仿宋_GB2312" w:cs="仿宋_GB2312"/>
                <w:color w:val="auto"/>
                <w:sz w:val="24"/>
                <w:szCs w:val="21"/>
                <w:highlight w:val="none"/>
              </w:rPr>
              <w:t>训练</w:t>
            </w:r>
            <w:r>
              <w:rPr>
                <w:rFonts w:hint="eastAsia" w:ascii="仿宋_GB2312" w:hAnsi="仿宋" w:eastAsia="仿宋_GB2312" w:cs="仿宋_GB2312"/>
                <w:color w:val="auto"/>
                <w:sz w:val="24"/>
                <w:szCs w:val="21"/>
                <w:highlight w:val="none"/>
                <w:lang w:eastAsia="zh-CN"/>
              </w:rPr>
              <w:t>；</w:t>
            </w:r>
          </w:p>
          <w:p w14:paraId="093CAED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2</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3</w:t>
            </w:r>
            <w:r>
              <w:rPr>
                <w:rFonts w:ascii="仿宋_GB2312" w:hAnsi="仿宋" w:eastAsia="仿宋_GB2312" w:cs="仿宋_GB2312"/>
                <w:color w:val="auto"/>
                <w:sz w:val="24"/>
                <w:szCs w:val="21"/>
                <w:highlight w:val="none"/>
              </w:rPr>
              <w:t>支持同伴</w:t>
            </w:r>
            <w:r>
              <w:rPr>
                <w:rFonts w:hint="eastAsia" w:ascii="仿宋_GB2312" w:hAnsi="仿宋" w:eastAsia="仿宋_GB2312" w:cs="仿宋_GB2312"/>
                <w:color w:val="auto"/>
                <w:sz w:val="24"/>
                <w:szCs w:val="21"/>
                <w:highlight w:val="none"/>
              </w:rPr>
              <w:t>修改，每个学生可以随机收到其他同学的译文并进行修改，完成修改后提交</w:t>
            </w:r>
            <w:r>
              <w:rPr>
                <w:rFonts w:hint="eastAsia" w:ascii="仿宋_GB2312" w:hAnsi="仿宋" w:eastAsia="仿宋_GB2312" w:cs="仿宋_GB2312"/>
                <w:color w:val="auto"/>
                <w:sz w:val="24"/>
                <w:szCs w:val="21"/>
                <w:highlight w:val="none"/>
                <w:lang w:eastAsia="zh-CN"/>
              </w:rPr>
              <w:t>；</w:t>
            </w:r>
          </w:p>
          <w:p w14:paraId="6A4DDDCC">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2</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4</w:t>
            </w:r>
            <w:r>
              <w:rPr>
                <w:rFonts w:ascii="仿宋_GB2312" w:hAnsi="仿宋" w:eastAsia="仿宋_GB2312" w:cs="仿宋_GB2312"/>
                <w:color w:val="auto"/>
                <w:sz w:val="24"/>
                <w:szCs w:val="21"/>
                <w:highlight w:val="none"/>
              </w:rPr>
              <w:t xml:space="preserve"> 训练结束后</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教师统一讲评学生译文，讲评界面显示翻译原文、学生译文、同伴</w:t>
            </w:r>
            <w:r>
              <w:rPr>
                <w:rFonts w:hint="eastAsia" w:ascii="仿宋_GB2312" w:hAnsi="仿宋" w:eastAsia="仿宋_GB2312" w:cs="仿宋_GB2312"/>
                <w:color w:val="auto"/>
                <w:sz w:val="24"/>
                <w:szCs w:val="21"/>
                <w:highlight w:val="none"/>
              </w:rPr>
              <w:t>修改</w:t>
            </w:r>
            <w:r>
              <w:rPr>
                <w:rFonts w:ascii="仿宋_GB2312" w:hAnsi="仿宋" w:eastAsia="仿宋_GB2312" w:cs="仿宋_GB2312"/>
                <w:color w:val="auto"/>
                <w:sz w:val="24"/>
                <w:szCs w:val="21"/>
                <w:highlight w:val="none"/>
              </w:rPr>
              <w:t>译文，支持</w:t>
            </w:r>
            <w:r>
              <w:rPr>
                <w:rFonts w:hint="eastAsia" w:ascii="仿宋_GB2312" w:hAnsi="仿宋" w:eastAsia="仿宋_GB2312" w:cs="仿宋_GB2312"/>
                <w:color w:val="auto"/>
                <w:sz w:val="24"/>
                <w:szCs w:val="21"/>
                <w:highlight w:val="none"/>
              </w:rPr>
              <w:t>修改</w:t>
            </w:r>
            <w:r>
              <w:rPr>
                <w:rFonts w:ascii="仿宋_GB2312" w:hAnsi="仿宋" w:eastAsia="仿宋_GB2312" w:cs="仿宋_GB2312"/>
                <w:color w:val="auto"/>
                <w:sz w:val="24"/>
                <w:szCs w:val="21"/>
                <w:highlight w:val="none"/>
              </w:rPr>
              <w:t>对比，</w:t>
            </w:r>
            <w:r>
              <w:rPr>
                <w:rFonts w:hint="eastAsia" w:ascii="仿宋_GB2312" w:hAnsi="仿宋" w:eastAsia="仿宋_GB2312" w:cs="仿宋_GB2312"/>
                <w:color w:val="auto"/>
                <w:sz w:val="24"/>
                <w:szCs w:val="21"/>
                <w:highlight w:val="none"/>
              </w:rPr>
              <w:t>通过不同的</w:t>
            </w:r>
            <w:r>
              <w:rPr>
                <w:rFonts w:ascii="仿宋_GB2312" w:hAnsi="仿宋" w:eastAsia="仿宋_GB2312" w:cs="仿宋_GB2312"/>
                <w:color w:val="auto"/>
                <w:sz w:val="24"/>
                <w:szCs w:val="21"/>
                <w:highlight w:val="none"/>
              </w:rPr>
              <w:t>颜色标记差异，体现新增和删减</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026AE08D">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支持虚拟教室</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在同一校区或不同</w:t>
            </w:r>
            <w:r>
              <w:rPr>
                <w:rFonts w:ascii="仿宋_GB2312" w:hAnsi="仿宋" w:eastAsia="仿宋_GB2312" w:cs="仿宋_GB2312"/>
                <w:color w:val="auto"/>
                <w:sz w:val="24"/>
                <w:szCs w:val="21"/>
                <w:highlight w:val="none"/>
              </w:rPr>
              <w:t>校区</w:t>
            </w:r>
            <w:r>
              <w:rPr>
                <w:rFonts w:hint="eastAsia" w:ascii="仿宋_GB2312" w:hAnsi="仿宋" w:eastAsia="仿宋_GB2312" w:cs="仿宋_GB2312"/>
                <w:color w:val="auto"/>
                <w:sz w:val="24"/>
                <w:szCs w:val="21"/>
                <w:highlight w:val="none"/>
              </w:rPr>
              <w:t>的多个智慧语言实验室</w:t>
            </w:r>
            <w:r>
              <w:rPr>
                <w:rFonts w:ascii="仿宋_GB2312" w:hAnsi="仿宋" w:eastAsia="仿宋_GB2312" w:cs="仿宋_GB2312"/>
                <w:color w:val="auto"/>
                <w:sz w:val="24"/>
                <w:szCs w:val="21"/>
                <w:highlight w:val="none"/>
              </w:rPr>
              <w:t>可以</w:t>
            </w:r>
            <w:r>
              <w:rPr>
                <w:rFonts w:hint="eastAsia" w:ascii="仿宋_GB2312" w:hAnsi="仿宋" w:eastAsia="仿宋_GB2312" w:cs="仿宋_GB2312"/>
                <w:color w:val="auto"/>
                <w:sz w:val="24"/>
                <w:szCs w:val="21"/>
                <w:highlight w:val="none"/>
              </w:rPr>
              <w:t>虚拟</w:t>
            </w:r>
            <w:r>
              <w:rPr>
                <w:rFonts w:ascii="仿宋_GB2312" w:hAnsi="仿宋" w:eastAsia="仿宋_GB2312" w:cs="仿宋_GB2312"/>
                <w:color w:val="auto"/>
                <w:sz w:val="24"/>
                <w:szCs w:val="21"/>
                <w:highlight w:val="none"/>
              </w:rPr>
              <w:t>组合成</w:t>
            </w:r>
            <w:r>
              <w:rPr>
                <w:rFonts w:hint="eastAsia" w:ascii="仿宋_GB2312" w:hAnsi="仿宋" w:eastAsia="仿宋_GB2312" w:cs="仿宋_GB2312"/>
                <w:color w:val="auto"/>
                <w:sz w:val="24"/>
                <w:szCs w:val="21"/>
                <w:highlight w:val="none"/>
              </w:rPr>
              <w:t>一个</w:t>
            </w:r>
            <w:r>
              <w:rPr>
                <w:rFonts w:ascii="仿宋_GB2312" w:hAnsi="仿宋" w:eastAsia="仿宋_GB2312" w:cs="仿宋_GB2312"/>
                <w:color w:val="auto"/>
                <w:sz w:val="24"/>
                <w:szCs w:val="21"/>
                <w:highlight w:val="none"/>
              </w:rPr>
              <w:t>教室，</w:t>
            </w:r>
            <w:r>
              <w:rPr>
                <w:rFonts w:hint="eastAsia" w:ascii="仿宋_GB2312" w:hAnsi="仿宋" w:eastAsia="仿宋_GB2312" w:cs="仿宋_GB2312"/>
                <w:color w:val="auto"/>
                <w:sz w:val="24"/>
                <w:szCs w:val="21"/>
                <w:highlight w:val="none"/>
              </w:rPr>
              <w:t>由一个教师进行统一授课</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教师使用同一</w:t>
            </w:r>
            <w:r>
              <w:rPr>
                <w:rFonts w:hint="eastAsia" w:ascii="仿宋_GB2312" w:hAnsi="仿宋" w:eastAsia="仿宋_GB2312" w:cs="仿宋_GB2312"/>
                <w:color w:val="auto"/>
                <w:sz w:val="24"/>
                <w:szCs w:val="21"/>
                <w:highlight w:val="none"/>
              </w:rPr>
              <w:t>的</w:t>
            </w:r>
            <w:r>
              <w:rPr>
                <w:rFonts w:ascii="仿宋_GB2312" w:hAnsi="仿宋" w:eastAsia="仿宋_GB2312" w:cs="仿宋_GB2312"/>
                <w:color w:val="auto"/>
                <w:sz w:val="24"/>
                <w:szCs w:val="21"/>
                <w:highlight w:val="none"/>
              </w:rPr>
              <w:t>界面</w:t>
            </w:r>
            <w:r>
              <w:rPr>
                <w:rFonts w:hint="eastAsia" w:ascii="仿宋_GB2312" w:hAnsi="仿宋" w:eastAsia="仿宋_GB2312" w:cs="仿宋_GB2312"/>
                <w:color w:val="auto"/>
                <w:sz w:val="24"/>
                <w:szCs w:val="21"/>
                <w:highlight w:val="none"/>
              </w:rPr>
              <w:t>，对无线接入的学生、远程接入的学生和本教室使用语音终端授课的学生</w:t>
            </w:r>
            <w:r>
              <w:rPr>
                <w:rFonts w:ascii="仿宋_GB2312" w:hAnsi="仿宋" w:eastAsia="仿宋_GB2312" w:cs="仿宋_GB2312"/>
                <w:color w:val="auto"/>
                <w:sz w:val="24"/>
                <w:szCs w:val="21"/>
                <w:highlight w:val="none"/>
              </w:rPr>
              <w:t>进行授课；所有学生都完整支持课堂教学、口语训练、小组研讨、课堂互动、教案、作业、</w:t>
            </w:r>
            <w:r>
              <w:rPr>
                <w:rFonts w:hint="eastAsia" w:ascii="仿宋_GB2312" w:hAnsi="仿宋" w:eastAsia="仿宋_GB2312" w:cs="仿宋_GB2312"/>
                <w:color w:val="auto"/>
                <w:sz w:val="24"/>
                <w:szCs w:val="21"/>
                <w:highlight w:val="none"/>
              </w:rPr>
              <w:t>电子名称</w:t>
            </w:r>
            <w:r>
              <w:rPr>
                <w:rFonts w:ascii="仿宋_GB2312" w:hAnsi="仿宋" w:eastAsia="仿宋_GB2312" w:cs="仿宋_GB2312"/>
                <w:color w:val="auto"/>
                <w:sz w:val="24"/>
                <w:szCs w:val="21"/>
                <w:highlight w:val="none"/>
              </w:rPr>
              <w:t>等所有功能；支持音视频双向通讯</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 xml:space="preserve"> </w:t>
            </w:r>
          </w:p>
          <w:p w14:paraId="540A841C">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数字化</w:t>
            </w:r>
            <w:r>
              <w:rPr>
                <w:rFonts w:ascii="仿宋_GB2312" w:hAnsi="仿宋" w:eastAsia="仿宋_GB2312" w:cs="仿宋_GB2312"/>
                <w:color w:val="auto"/>
                <w:sz w:val="24"/>
                <w:szCs w:val="21"/>
                <w:highlight w:val="none"/>
              </w:rPr>
              <w:t>课程教案</w:t>
            </w:r>
          </w:p>
          <w:p w14:paraId="614F8206">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4</w:t>
            </w:r>
            <w:r>
              <w:rPr>
                <w:rFonts w:ascii="仿宋_GB2312" w:hAnsi="仿宋" w:eastAsia="仿宋_GB2312" w:cs="仿宋_GB2312"/>
                <w:color w:val="auto"/>
                <w:sz w:val="24"/>
                <w:szCs w:val="21"/>
                <w:highlight w:val="none"/>
              </w:rPr>
              <w:t>.1 教师在任意教室使用账号登，</w:t>
            </w:r>
            <w:r>
              <w:rPr>
                <w:rFonts w:hint="eastAsia" w:ascii="仿宋_GB2312" w:hAnsi="仿宋" w:eastAsia="仿宋_GB2312" w:cs="仿宋_GB2312"/>
                <w:color w:val="auto"/>
                <w:sz w:val="24"/>
                <w:szCs w:val="21"/>
                <w:highlight w:val="none"/>
              </w:rPr>
              <w:t>软件</w:t>
            </w:r>
            <w:r>
              <w:rPr>
                <w:rFonts w:ascii="仿宋_GB2312" w:hAnsi="仿宋" w:eastAsia="仿宋_GB2312" w:cs="仿宋_GB2312"/>
                <w:color w:val="auto"/>
                <w:sz w:val="24"/>
                <w:szCs w:val="21"/>
                <w:highlight w:val="none"/>
              </w:rPr>
              <w:t>自动同步</w:t>
            </w:r>
            <w:r>
              <w:rPr>
                <w:rFonts w:hint="eastAsia" w:ascii="仿宋_GB2312" w:hAnsi="仿宋" w:eastAsia="仿宋_GB2312" w:cs="仿宋_GB2312"/>
                <w:color w:val="auto"/>
                <w:sz w:val="24"/>
                <w:szCs w:val="21"/>
                <w:highlight w:val="none"/>
              </w:rPr>
              <w:t>该教师在</w:t>
            </w:r>
            <w:r>
              <w:rPr>
                <w:rFonts w:ascii="仿宋_GB2312" w:hAnsi="仿宋" w:eastAsia="仿宋_GB2312" w:cs="仿宋_GB2312"/>
                <w:color w:val="auto"/>
                <w:sz w:val="24"/>
                <w:szCs w:val="21"/>
                <w:highlight w:val="none"/>
              </w:rPr>
              <w:t>外语教学平台的</w:t>
            </w:r>
            <w:r>
              <w:rPr>
                <w:rFonts w:hint="eastAsia" w:ascii="仿宋_GB2312" w:hAnsi="仿宋" w:eastAsia="仿宋_GB2312" w:cs="仿宋_GB2312"/>
                <w:color w:val="auto"/>
                <w:sz w:val="24"/>
                <w:szCs w:val="21"/>
                <w:highlight w:val="none"/>
              </w:rPr>
              <w:t>制作的</w:t>
            </w:r>
            <w:r>
              <w:rPr>
                <w:rFonts w:ascii="仿宋_GB2312" w:hAnsi="仿宋" w:eastAsia="仿宋_GB2312" w:cs="仿宋_GB2312"/>
                <w:color w:val="auto"/>
                <w:sz w:val="24"/>
                <w:szCs w:val="21"/>
                <w:highlight w:val="none"/>
              </w:rPr>
              <w:t>课程教案</w:t>
            </w:r>
            <w:r>
              <w:rPr>
                <w:rFonts w:hint="eastAsia" w:ascii="仿宋_GB2312" w:hAnsi="仿宋" w:eastAsia="仿宋_GB2312" w:cs="仿宋_GB2312"/>
                <w:color w:val="auto"/>
                <w:sz w:val="24"/>
                <w:szCs w:val="21"/>
                <w:highlight w:val="none"/>
              </w:rPr>
              <w:t>，教案按可按单元展开，每个单元内包含课前预习、课件、课堂训练和课后作业</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教师打开教案即可以进行授课</w:t>
            </w:r>
            <w:r>
              <w:rPr>
                <w:rFonts w:hint="eastAsia" w:ascii="仿宋_GB2312" w:hAnsi="仿宋" w:eastAsia="仿宋_GB2312" w:cs="仿宋_GB2312"/>
                <w:color w:val="auto"/>
                <w:sz w:val="24"/>
                <w:szCs w:val="21"/>
                <w:highlight w:val="none"/>
                <w:lang w:eastAsia="zh-CN"/>
              </w:rPr>
              <w:t>；</w:t>
            </w:r>
          </w:p>
          <w:p w14:paraId="736B779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4.2</w:t>
            </w:r>
            <w:r>
              <w:rPr>
                <w:rFonts w:ascii="仿宋_GB2312" w:hAnsi="仿宋" w:eastAsia="仿宋_GB2312" w:cs="仿宋_GB2312"/>
                <w:color w:val="auto"/>
                <w:sz w:val="24"/>
                <w:szCs w:val="21"/>
                <w:highlight w:val="none"/>
              </w:rPr>
              <w:t xml:space="preserve"> 教师打开教案中预设的课堂训练</w:t>
            </w:r>
            <w:r>
              <w:rPr>
                <w:rFonts w:hint="eastAsia" w:ascii="仿宋_GB2312" w:hAnsi="仿宋" w:eastAsia="仿宋_GB2312" w:cs="仿宋_GB2312"/>
                <w:color w:val="auto"/>
                <w:sz w:val="24"/>
                <w:szCs w:val="21"/>
                <w:highlight w:val="none"/>
              </w:rPr>
              <w:t>时</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软件可以自动发起教师备课时预设好的训练动作，比如打开的是预设口语练习，软件会</w:t>
            </w:r>
            <w:r>
              <w:rPr>
                <w:rFonts w:ascii="仿宋_GB2312" w:hAnsi="仿宋" w:eastAsia="仿宋_GB2312" w:cs="仿宋_GB2312"/>
                <w:color w:val="auto"/>
                <w:sz w:val="24"/>
                <w:szCs w:val="21"/>
                <w:highlight w:val="none"/>
              </w:rPr>
              <w:t>自动播放训练</w:t>
            </w:r>
            <w:r>
              <w:rPr>
                <w:rFonts w:hint="eastAsia" w:ascii="仿宋_GB2312" w:hAnsi="仿宋" w:eastAsia="仿宋_GB2312" w:cs="仿宋_GB2312"/>
                <w:color w:val="auto"/>
                <w:sz w:val="24"/>
                <w:szCs w:val="21"/>
                <w:highlight w:val="none"/>
              </w:rPr>
              <w:t>视频课件，软件会自动录取学生的训练声音，简化教师的操作，提供课堂效率</w:t>
            </w:r>
            <w:r>
              <w:rPr>
                <w:rFonts w:hint="eastAsia" w:ascii="仿宋_GB2312" w:hAnsi="仿宋" w:eastAsia="仿宋_GB2312" w:cs="仿宋_GB2312"/>
                <w:color w:val="auto"/>
                <w:sz w:val="24"/>
                <w:szCs w:val="21"/>
                <w:highlight w:val="none"/>
                <w:lang w:eastAsia="zh-CN"/>
              </w:rPr>
              <w:t>；</w:t>
            </w:r>
          </w:p>
          <w:p w14:paraId="7F43F5C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布置</w:t>
            </w:r>
            <w:r>
              <w:rPr>
                <w:rFonts w:ascii="仿宋_GB2312" w:hAnsi="仿宋" w:eastAsia="仿宋_GB2312" w:cs="仿宋_GB2312"/>
                <w:color w:val="auto"/>
                <w:sz w:val="24"/>
                <w:szCs w:val="21"/>
                <w:highlight w:val="none"/>
              </w:rPr>
              <w:t>作业</w:t>
            </w:r>
          </w:p>
          <w:p w14:paraId="0C0B69C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15.1教师可以给学生布置作业，支持布置</w:t>
            </w:r>
            <w:r>
              <w:rPr>
                <w:rFonts w:ascii="仿宋_GB2312" w:hAnsi="仿宋" w:eastAsia="仿宋_GB2312" w:cs="仿宋_GB2312"/>
                <w:color w:val="auto"/>
                <w:sz w:val="24"/>
                <w:szCs w:val="21"/>
                <w:highlight w:val="none"/>
              </w:rPr>
              <w:t>课程教案</w:t>
            </w:r>
            <w:r>
              <w:rPr>
                <w:rFonts w:hint="eastAsia" w:ascii="仿宋_GB2312" w:hAnsi="仿宋" w:eastAsia="仿宋_GB2312" w:cs="仿宋_GB2312"/>
                <w:color w:val="auto"/>
                <w:sz w:val="24"/>
                <w:szCs w:val="21"/>
                <w:highlight w:val="none"/>
              </w:rPr>
              <w:t>预设好的预设作业，也可以创建个人作业和小组作业</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教师可以查看在</w:t>
            </w:r>
            <w:r>
              <w:rPr>
                <w:rFonts w:ascii="仿宋_GB2312" w:hAnsi="仿宋" w:eastAsia="仿宋_GB2312" w:cs="仿宋_GB2312"/>
                <w:color w:val="auto"/>
                <w:sz w:val="24"/>
                <w:szCs w:val="21"/>
                <w:highlight w:val="none"/>
              </w:rPr>
              <w:t>进行中</w:t>
            </w:r>
            <w:r>
              <w:rPr>
                <w:rFonts w:hint="eastAsia" w:ascii="仿宋_GB2312" w:hAnsi="仿宋" w:eastAsia="仿宋_GB2312" w:cs="仿宋_GB2312"/>
                <w:color w:val="auto"/>
                <w:sz w:val="24"/>
                <w:szCs w:val="21"/>
                <w:highlight w:val="none"/>
              </w:rPr>
              <w:t>或</w:t>
            </w:r>
            <w:r>
              <w:rPr>
                <w:rFonts w:ascii="仿宋_GB2312" w:hAnsi="仿宋" w:eastAsia="仿宋_GB2312" w:cs="仿宋_GB2312"/>
                <w:color w:val="auto"/>
                <w:sz w:val="24"/>
                <w:szCs w:val="21"/>
                <w:highlight w:val="none"/>
              </w:rPr>
              <w:t>已截止的作业</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显示作业的剩余天数和提交人数</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教师可以设置作业信息、添加附件、截止日期和是否允许补交，到截止日期</w:t>
            </w:r>
            <w:r>
              <w:rPr>
                <w:rFonts w:hint="eastAsia" w:ascii="仿宋_GB2312" w:hAnsi="仿宋" w:eastAsia="仿宋_GB2312" w:cs="仿宋_GB2312"/>
                <w:color w:val="auto"/>
                <w:sz w:val="24"/>
                <w:szCs w:val="21"/>
                <w:highlight w:val="none"/>
              </w:rPr>
              <w:t>软件</w:t>
            </w:r>
            <w:r>
              <w:rPr>
                <w:rFonts w:ascii="仿宋_GB2312" w:hAnsi="仿宋" w:eastAsia="仿宋_GB2312" w:cs="仿宋_GB2312"/>
                <w:color w:val="auto"/>
                <w:sz w:val="24"/>
                <w:szCs w:val="21"/>
                <w:highlight w:val="none"/>
              </w:rPr>
              <w:t>自动停止学生递交作业</w:t>
            </w:r>
            <w:r>
              <w:rPr>
                <w:rFonts w:hint="eastAsia" w:ascii="仿宋_GB2312" w:hAnsi="仿宋" w:eastAsia="仿宋_GB2312" w:cs="仿宋_GB2312"/>
                <w:color w:val="auto"/>
                <w:sz w:val="24"/>
                <w:szCs w:val="21"/>
                <w:highlight w:val="none"/>
              </w:rPr>
              <w:t>，再</w:t>
            </w:r>
            <w:r>
              <w:rPr>
                <w:rFonts w:ascii="仿宋_GB2312" w:hAnsi="仿宋" w:eastAsia="仿宋_GB2312" w:cs="仿宋_GB2312"/>
                <w:color w:val="auto"/>
                <w:sz w:val="24"/>
                <w:szCs w:val="21"/>
                <w:highlight w:val="none"/>
              </w:rPr>
              <w:t>设置允许补交的作业到期后可以继续提交作业，</w:t>
            </w:r>
            <w:r>
              <w:rPr>
                <w:rFonts w:hint="eastAsia" w:ascii="仿宋_GB2312" w:hAnsi="仿宋" w:eastAsia="仿宋_GB2312" w:cs="仿宋_GB2312"/>
                <w:color w:val="auto"/>
                <w:sz w:val="24"/>
                <w:szCs w:val="21"/>
                <w:highlight w:val="none"/>
              </w:rPr>
              <w:t>软件</w:t>
            </w:r>
            <w:r>
              <w:rPr>
                <w:rFonts w:ascii="仿宋_GB2312" w:hAnsi="仿宋" w:eastAsia="仿宋_GB2312" w:cs="仿宋_GB2312"/>
                <w:color w:val="auto"/>
                <w:sz w:val="24"/>
                <w:szCs w:val="21"/>
                <w:highlight w:val="none"/>
              </w:rPr>
              <w:t>自动标记为补交的作业</w:t>
            </w:r>
            <w:r>
              <w:rPr>
                <w:rFonts w:hint="eastAsia" w:ascii="仿宋_GB2312" w:hAnsi="仿宋" w:eastAsia="仿宋_GB2312" w:cs="仿宋_GB2312"/>
                <w:color w:val="auto"/>
                <w:sz w:val="24"/>
                <w:szCs w:val="21"/>
                <w:highlight w:val="none"/>
                <w:lang w:eastAsia="zh-CN"/>
              </w:rPr>
              <w:t>；</w:t>
            </w:r>
          </w:p>
          <w:p w14:paraId="2BBA335E">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5</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2</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软件可以自动同步学生提交作业，作业支持音视频、文档类型，在教学软件界面中可以显示被标星的作业，教师可以直接点开作业进行讲评</w:t>
            </w:r>
            <w:r>
              <w:rPr>
                <w:rFonts w:hint="eastAsia" w:ascii="仿宋_GB2312" w:hAnsi="仿宋" w:eastAsia="仿宋_GB2312" w:cs="仿宋_GB2312"/>
                <w:color w:val="auto"/>
                <w:sz w:val="24"/>
                <w:szCs w:val="21"/>
                <w:highlight w:val="none"/>
                <w:lang w:eastAsia="zh-CN"/>
              </w:rPr>
              <w:t>；</w:t>
            </w:r>
          </w:p>
          <w:p w14:paraId="2CE2F7D4">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电子名册</w:t>
            </w:r>
          </w:p>
          <w:p w14:paraId="2BB06922">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6</w:t>
            </w: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教师可通过电子名册，查看</w:t>
            </w:r>
            <w:r>
              <w:rPr>
                <w:rFonts w:ascii="仿宋_GB2312" w:hAnsi="仿宋" w:eastAsia="仿宋_GB2312" w:cs="仿宋_GB2312"/>
                <w:color w:val="auto"/>
                <w:sz w:val="24"/>
                <w:szCs w:val="21"/>
                <w:highlight w:val="none"/>
              </w:rPr>
              <w:t>全班学生的个人信息和学习数据，包括：学生姓名、头像、平时成绩、考勤、作业递交率、作业得分、课堂活动参与率、发言次数、互评得分、教师评价等数据；教师</w:t>
            </w:r>
            <w:r>
              <w:rPr>
                <w:rFonts w:hint="eastAsia" w:ascii="仿宋_GB2312" w:hAnsi="仿宋" w:eastAsia="仿宋_GB2312" w:cs="仿宋_GB2312"/>
                <w:color w:val="auto"/>
                <w:sz w:val="24"/>
                <w:szCs w:val="21"/>
                <w:highlight w:val="none"/>
              </w:rPr>
              <w:t>把</w:t>
            </w:r>
            <w:r>
              <w:rPr>
                <w:rFonts w:ascii="仿宋_GB2312" w:hAnsi="仿宋" w:eastAsia="仿宋_GB2312" w:cs="仿宋_GB2312"/>
                <w:color w:val="auto"/>
                <w:sz w:val="24"/>
                <w:szCs w:val="21"/>
                <w:highlight w:val="none"/>
              </w:rPr>
              <w:t>要重点关注的学生</w:t>
            </w:r>
            <w:r>
              <w:rPr>
                <w:rFonts w:hint="eastAsia" w:ascii="仿宋_GB2312" w:hAnsi="仿宋" w:eastAsia="仿宋_GB2312" w:cs="仿宋_GB2312"/>
                <w:color w:val="auto"/>
                <w:sz w:val="24"/>
                <w:szCs w:val="21"/>
                <w:highlight w:val="none"/>
              </w:rPr>
              <w:t>信息</w:t>
            </w:r>
            <w:r>
              <w:rPr>
                <w:rFonts w:ascii="仿宋_GB2312" w:hAnsi="仿宋" w:eastAsia="仿宋_GB2312" w:cs="仿宋_GB2312"/>
                <w:color w:val="auto"/>
                <w:sz w:val="24"/>
                <w:szCs w:val="21"/>
                <w:highlight w:val="none"/>
              </w:rPr>
              <w:t>置顶显示</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教师</w:t>
            </w:r>
            <w:r>
              <w:rPr>
                <w:rFonts w:hint="eastAsia" w:ascii="仿宋_GB2312" w:hAnsi="仿宋" w:eastAsia="仿宋_GB2312" w:cs="仿宋_GB2312"/>
                <w:color w:val="auto"/>
                <w:sz w:val="24"/>
                <w:szCs w:val="21"/>
                <w:highlight w:val="none"/>
              </w:rPr>
              <w:t>也可以根据不同数据项</w:t>
            </w:r>
            <w:r>
              <w:rPr>
                <w:rFonts w:ascii="仿宋_GB2312" w:hAnsi="仿宋" w:eastAsia="仿宋_GB2312" w:cs="仿宋_GB2312"/>
                <w:color w:val="auto"/>
                <w:sz w:val="24"/>
                <w:szCs w:val="21"/>
                <w:highlight w:val="none"/>
              </w:rPr>
              <w:t>排序显示学生信息</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 xml:space="preserve"> </w:t>
            </w:r>
          </w:p>
          <w:p w14:paraId="159B3D2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6</w:t>
            </w:r>
            <w:r>
              <w:rPr>
                <w:rFonts w:ascii="仿宋_GB2312" w:hAnsi="仿宋" w:eastAsia="仿宋_GB2312" w:cs="仿宋_GB2312"/>
                <w:color w:val="auto"/>
                <w:sz w:val="24"/>
                <w:szCs w:val="21"/>
                <w:highlight w:val="none"/>
              </w:rPr>
              <w:t xml:space="preserve">.2 </w:t>
            </w:r>
            <w:r>
              <w:rPr>
                <w:rFonts w:hint="eastAsia" w:ascii="仿宋_GB2312" w:hAnsi="仿宋" w:eastAsia="仿宋_GB2312" w:cs="仿宋_GB2312"/>
                <w:color w:val="auto"/>
                <w:sz w:val="24"/>
                <w:szCs w:val="21"/>
                <w:highlight w:val="none"/>
              </w:rPr>
              <w:t>教师可查看</w:t>
            </w:r>
            <w:r>
              <w:rPr>
                <w:rFonts w:ascii="仿宋_GB2312" w:hAnsi="仿宋" w:eastAsia="仿宋_GB2312" w:cs="仿宋_GB2312"/>
                <w:color w:val="auto"/>
                <w:sz w:val="24"/>
                <w:szCs w:val="21"/>
                <w:highlight w:val="none"/>
              </w:rPr>
              <w:t>本学期和本节课的班级数据统计图</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教学班的学情雷达图</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生成学生特性标签</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可</w:t>
            </w:r>
            <w:r>
              <w:rPr>
                <w:rFonts w:hint="eastAsia" w:ascii="仿宋_GB2312" w:hAnsi="仿宋" w:eastAsia="仿宋_GB2312" w:cs="仿宋_GB2312"/>
                <w:color w:val="auto"/>
                <w:sz w:val="24"/>
                <w:szCs w:val="21"/>
                <w:highlight w:val="none"/>
              </w:rPr>
              <w:t>通过</w:t>
            </w:r>
            <w:r>
              <w:rPr>
                <w:rFonts w:ascii="仿宋_GB2312" w:hAnsi="仿宋" w:eastAsia="仿宋_GB2312" w:cs="仿宋_GB2312"/>
                <w:color w:val="auto"/>
                <w:sz w:val="24"/>
                <w:szCs w:val="21"/>
                <w:highlight w:val="none"/>
              </w:rPr>
              <w:t>点击标签筛选学生</w:t>
            </w:r>
            <w:r>
              <w:rPr>
                <w:rFonts w:hint="eastAsia" w:ascii="仿宋_GB2312" w:hAnsi="仿宋" w:eastAsia="仿宋_GB2312" w:cs="仿宋_GB2312"/>
                <w:color w:val="auto"/>
                <w:sz w:val="24"/>
                <w:szCs w:val="21"/>
                <w:highlight w:val="none"/>
                <w:lang w:eastAsia="zh-CN"/>
              </w:rPr>
              <w:t>；</w:t>
            </w:r>
          </w:p>
          <w:p w14:paraId="1F3DFB82">
            <w:pPr>
              <w:keepNext w:val="0"/>
              <w:keepLines w:val="0"/>
              <w:pageBreakBefore w:val="0"/>
              <w:widowControl w:val="0"/>
              <w:kinsoku/>
              <w:wordWrap/>
              <w:overflowPunct/>
              <w:topLinePunct w:val="0"/>
              <w:autoSpaceDE/>
              <w:autoSpaceDN/>
              <w:bidi w:val="0"/>
              <w:adjustRightInd w:val="0"/>
              <w:snapToGrid w:val="0"/>
              <w:spacing w:line="360" w:lineRule="exact"/>
              <w:ind w:firstLine="240" w:firstLineChars="100"/>
              <w:jc w:val="both"/>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6</w:t>
            </w:r>
            <w:r>
              <w:rPr>
                <w:rFonts w:ascii="仿宋_GB2312" w:hAnsi="仿宋" w:eastAsia="仿宋_GB2312" w:cs="仿宋_GB2312"/>
                <w:color w:val="auto"/>
                <w:sz w:val="24"/>
                <w:szCs w:val="21"/>
                <w:highlight w:val="none"/>
              </w:rPr>
              <w:t>.3 教师</w:t>
            </w:r>
            <w:r>
              <w:rPr>
                <w:rFonts w:hint="eastAsia" w:ascii="仿宋_GB2312" w:hAnsi="仿宋" w:eastAsia="仿宋_GB2312" w:cs="仿宋_GB2312"/>
                <w:color w:val="auto"/>
                <w:sz w:val="24"/>
                <w:szCs w:val="21"/>
                <w:highlight w:val="none"/>
              </w:rPr>
              <w:t>查看某个</w:t>
            </w:r>
            <w:r>
              <w:rPr>
                <w:rFonts w:ascii="仿宋_GB2312" w:hAnsi="仿宋" w:eastAsia="仿宋_GB2312" w:cs="仿宋_GB2312"/>
                <w:color w:val="auto"/>
                <w:sz w:val="24"/>
                <w:szCs w:val="21"/>
                <w:highlight w:val="none"/>
              </w:rPr>
              <w:t>学生，查看该学生的出勤率、发言次数、课堂活动次数、作业成绩、作业提交率、回帖数等</w:t>
            </w:r>
            <w:r>
              <w:rPr>
                <w:rFonts w:hint="eastAsia" w:ascii="仿宋_GB2312" w:hAnsi="仿宋" w:eastAsia="仿宋_GB2312" w:cs="仿宋_GB2312"/>
                <w:color w:val="auto"/>
                <w:sz w:val="24"/>
                <w:szCs w:val="21"/>
                <w:highlight w:val="none"/>
              </w:rPr>
              <w:t>多维度的教学数据</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6E2793CF">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6</w:t>
            </w:r>
            <w:r>
              <w:rPr>
                <w:rFonts w:ascii="仿宋_GB2312" w:hAnsi="仿宋" w:eastAsia="仿宋_GB2312" w:cs="仿宋_GB2312"/>
                <w:color w:val="auto"/>
                <w:sz w:val="24"/>
                <w:szCs w:val="21"/>
                <w:highlight w:val="none"/>
              </w:rPr>
              <w:t>.4 教师可以对特定学生进行评价或组织学生互评</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评价数据自动</w:t>
            </w:r>
            <w:r>
              <w:rPr>
                <w:rFonts w:hint="eastAsia" w:ascii="仿宋_GB2312" w:hAnsi="仿宋" w:eastAsia="仿宋_GB2312" w:cs="仿宋_GB2312"/>
                <w:color w:val="auto"/>
                <w:sz w:val="24"/>
                <w:szCs w:val="21"/>
                <w:highlight w:val="none"/>
              </w:rPr>
              <w:t>记录</w:t>
            </w:r>
            <w:r>
              <w:rPr>
                <w:rFonts w:ascii="仿宋_GB2312" w:hAnsi="仿宋" w:eastAsia="仿宋_GB2312" w:cs="仿宋_GB2312"/>
                <w:color w:val="auto"/>
                <w:sz w:val="24"/>
                <w:szCs w:val="21"/>
                <w:highlight w:val="none"/>
              </w:rPr>
              <w:t>外语教学平台，</w:t>
            </w:r>
            <w:r>
              <w:rPr>
                <w:rFonts w:hint="eastAsia" w:ascii="仿宋_GB2312" w:hAnsi="仿宋" w:eastAsia="仿宋_GB2312" w:cs="仿宋_GB2312"/>
                <w:color w:val="auto"/>
                <w:sz w:val="24"/>
                <w:szCs w:val="21"/>
                <w:highlight w:val="none"/>
              </w:rPr>
              <w:t>作为平时成绩的数据</w:t>
            </w:r>
            <w:r>
              <w:rPr>
                <w:rFonts w:hint="eastAsia" w:ascii="仿宋_GB2312" w:hAnsi="仿宋" w:eastAsia="仿宋_GB2312" w:cs="仿宋_GB2312"/>
                <w:color w:val="auto"/>
                <w:sz w:val="24"/>
                <w:szCs w:val="21"/>
                <w:highlight w:val="none"/>
                <w:lang w:eastAsia="zh-CN"/>
              </w:rPr>
              <w:t>；</w:t>
            </w:r>
          </w:p>
          <w:p w14:paraId="2864A988">
            <w:pPr>
              <w:keepNext w:val="0"/>
              <w:keepLines w:val="0"/>
              <w:pageBreakBefore w:val="0"/>
              <w:widowControl w:val="0"/>
              <w:kinsoku/>
              <w:wordWrap/>
              <w:overflowPunct/>
              <w:topLinePunct w:val="0"/>
              <w:autoSpaceDE/>
              <w:autoSpaceDN/>
              <w:bidi w:val="0"/>
              <w:adjustRightInd w:val="0"/>
              <w:snapToGrid w:val="0"/>
              <w:spacing w:line="360" w:lineRule="exact"/>
              <w:ind w:left="0" w:leftChars="0" w:firstLine="480" w:firstLineChars="200"/>
              <w:jc w:val="both"/>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rPr>
              <w:t>6</w:t>
            </w:r>
            <w:r>
              <w:rPr>
                <w:rFonts w:ascii="仿宋_GB2312" w:hAnsi="仿宋" w:eastAsia="仿宋_GB2312" w:cs="仿宋_GB2312"/>
                <w:color w:val="auto"/>
                <w:sz w:val="24"/>
                <w:szCs w:val="21"/>
                <w:highlight w:val="none"/>
              </w:rPr>
              <w:t>.5 教师可以导出</w:t>
            </w:r>
            <w:r>
              <w:rPr>
                <w:rFonts w:hint="eastAsia" w:ascii="仿宋_GB2312" w:hAnsi="仿宋" w:eastAsia="仿宋_GB2312" w:cs="仿宋_GB2312"/>
                <w:color w:val="auto"/>
                <w:sz w:val="24"/>
                <w:szCs w:val="21"/>
                <w:highlight w:val="none"/>
              </w:rPr>
              <w:t>电子名册</w:t>
            </w:r>
            <w:r>
              <w:rPr>
                <w:rFonts w:ascii="仿宋_GB2312" w:hAnsi="仿宋" w:eastAsia="仿宋_GB2312" w:cs="仿宋_GB2312"/>
                <w:color w:val="auto"/>
                <w:sz w:val="24"/>
                <w:szCs w:val="21"/>
                <w:highlight w:val="none"/>
              </w:rPr>
              <w:t>全部维度的学生数据</w:t>
            </w:r>
            <w:r>
              <w:rPr>
                <w:rFonts w:hint="eastAsia" w:ascii="仿宋_GB2312" w:hAnsi="仿宋" w:eastAsia="仿宋_GB2312" w:cs="仿宋_GB2312"/>
                <w:color w:val="auto"/>
                <w:sz w:val="24"/>
                <w:szCs w:val="21"/>
                <w:highlight w:val="none"/>
              </w:rPr>
              <w:t>，导出数据格式支持</w:t>
            </w:r>
            <w:r>
              <w:rPr>
                <w:rFonts w:ascii="仿宋_GB2312" w:hAnsi="仿宋" w:eastAsia="仿宋_GB2312" w:cs="仿宋_GB2312"/>
                <w:color w:val="auto"/>
                <w:sz w:val="24"/>
                <w:szCs w:val="21"/>
                <w:highlight w:val="none"/>
              </w:rPr>
              <w:t>Excel格式</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30C0A697">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30A1BE1">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1D29AFD6">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6BDDC938">
            <w:pPr>
              <w:tabs>
                <w:tab w:val="left" w:pos="0"/>
              </w:tabs>
              <w:spacing w:line="240" w:lineRule="exact"/>
              <w:jc w:val="center"/>
              <w:rPr>
                <w:rFonts w:ascii="仿宋_GB2312" w:hAnsi="仿宋" w:eastAsia="仿宋_GB2312" w:cs="仿宋_GB2312"/>
                <w:color w:val="auto"/>
                <w:kern w:val="0"/>
                <w:sz w:val="24"/>
                <w:szCs w:val="21"/>
                <w:highlight w:val="none"/>
              </w:rPr>
            </w:pPr>
          </w:p>
        </w:tc>
      </w:tr>
      <w:tr w14:paraId="3E04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04153859">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品目2</w:t>
            </w:r>
          </w:p>
          <w:p w14:paraId="193B04E5">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产品名称：智慧外语教学平台</w:t>
            </w:r>
          </w:p>
          <w:p w14:paraId="0CAB1839">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1套</w:t>
            </w:r>
          </w:p>
          <w:p w14:paraId="71C6C4E6">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3468E277">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5C5F4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11A953BA">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3B003502">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02187AE6">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669A4750">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23DFCC7F">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5FB71871">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6E8405D7">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6C88E350">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1A341A4A">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24E05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44B8982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ascii="仿宋_GB2312" w:hAnsi="仿宋" w:eastAsia="仿宋_GB2312" w:cs="仿宋_GB2312"/>
                <w:color w:val="auto"/>
                <w:sz w:val="24"/>
                <w:szCs w:val="21"/>
                <w:highlight w:val="none"/>
              </w:rPr>
              <w:t>采用服务端架构，不需要安装客户端，通过浏览器实现所有功能操作；支持在校园网内私有云部署，在不连接互联网的情况下正常使用，不影响教学</w:t>
            </w:r>
            <w:r>
              <w:rPr>
                <w:rFonts w:hint="eastAsia" w:ascii="仿宋_GB2312" w:hAnsi="仿宋" w:eastAsia="仿宋_GB2312" w:cs="仿宋_GB2312"/>
                <w:color w:val="auto"/>
                <w:sz w:val="24"/>
                <w:szCs w:val="21"/>
                <w:highlight w:val="none"/>
                <w:lang w:eastAsia="zh-CN"/>
              </w:rPr>
              <w:t>；</w:t>
            </w:r>
          </w:p>
          <w:p w14:paraId="46A53D8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电子</w:t>
            </w:r>
            <w:r>
              <w:rPr>
                <w:rFonts w:ascii="仿宋_GB2312" w:hAnsi="仿宋" w:eastAsia="仿宋_GB2312" w:cs="仿宋_GB2312"/>
                <w:color w:val="auto"/>
                <w:sz w:val="24"/>
                <w:szCs w:val="21"/>
                <w:highlight w:val="none"/>
              </w:rPr>
              <w:t>备课</w:t>
            </w:r>
          </w:p>
          <w:p w14:paraId="1D87DB4E">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▲2.1教师可以按照课程</w:t>
            </w:r>
            <w:r>
              <w:rPr>
                <w:rFonts w:hint="eastAsia" w:ascii="仿宋_GB2312" w:hAnsi="仿宋" w:eastAsia="仿宋_GB2312" w:cs="仿宋_GB2312"/>
                <w:color w:val="auto"/>
                <w:sz w:val="24"/>
                <w:szCs w:val="21"/>
                <w:highlight w:val="none"/>
              </w:rPr>
              <w:t>创建</w:t>
            </w:r>
            <w:r>
              <w:rPr>
                <w:rFonts w:ascii="仿宋_GB2312" w:hAnsi="仿宋" w:eastAsia="仿宋_GB2312" w:cs="仿宋_GB2312"/>
                <w:color w:val="auto"/>
                <w:sz w:val="24"/>
                <w:szCs w:val="21"/>
                <w:highlight w:val="none"/>
              </w:rPr>
              <w:t>知识图谱，每个知识图谱都具备增加、删除知识点功能，</w:t>
            </w:r>
            <w:r>
              <w:rPr>
                <w:rFonts w:hint="eastAsia" w:ascii="仿宋_GB2312" w:hAnsi="仿宋" w:eastAsia="仿宋_GB2312" w:cs="仿宋_GB2312"/>
                <w:color w:val="auto"/>
                <w:sz w:val="24"/>
                <w:szCs w:val="21"/>
                <w:highlight w:val="none"/>
              </w:rPr>
              <w:t>可以</w:t>
            </w:r>
            <w:r>
              <w:rPr>
                <w:rFonts w:ascii="仿宋_GB2312" w:hAnsi="仿宋" w:eastAsia="仿宋_GB2312" w:cs="仿宋_GB2312"/>
                <w:color w:val="auto"/>
                <w:sz w:val="24"/>
                <w:szCs w:val="21"/>
                <w:highlight w:val="none"/>
              </w:rPr>
              <w:t>设置知识点之间的依赖关系，</w:t>
            </w:r>
            <w:r>
              <w:rPr>
                <w:rFonts w:hint="eastAsia" w:ascii="仿宋_GB2312" w:hAnsi="仿宋" w:eastAsia="仿宋_GB2312" w:cs="仿宋_GB2312"/>
                <w:color w:val="auto"/>
                <w:sz w:val="24"/>
                <w:szCs w:val="21"/>
                <w:highlight w:val="none"/>
              </w:rPr>
              <w:t>可以</w:t>
            </w:r>
            <w:r>
              <w:rPr>
                <w:rFonts w:ascii="仿宋_GB2312" w:hAnsi="仿宋" w:eastAsia="仿宋_GB2312" w:cs="仿宋_GB2312"/>
                <w:color w:val="auto"/>
                <w:sz w:val="24"/>
                <w:szCs w:val="21"/>
                <w:highlight w:val="none"/>
              </w:rPr>
              <w:t>为课程中的每个课程资源或教学活动设置关联知识点</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支持知识图谱的可视化展示</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30CEA6B6">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▲2.2 教师准备课程教案，按单元组织课前预习、课堂训练、课堂测验、课后作业或其它教学资源，单元中的每个教学活动和资源都可以关联知识图谱中的知识点</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教师上传课程资源的格式包括：MP4、MP3、DOC、PPT、XLS、PDF、JPG</w:t>
            </w:r>
            <w:r>
              <w:rPr>
                <w:rFonts w:hint="eastAsia" w:ascii="仿宋_GB2312" w:hAnsi="仿宋" w:eastAsia="仿宋_GB2312" w:cs="仿宋_GB2312"/>
                <w:color w:val="auto"/>
                <w:sz w:val="24"/>
                <w:szCs w:val="21"/>
                <w:highlight w:val="none"/>
              </w:rPr>
              <w:t>等</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r>
              <w:rPr>
                <w:rFonts w:ascii="仿宋_GB2312" w:hAnsi="仿宋" w:eastAsia="仿宋_GB2312" w:cs="仿宋_GB2312"/>
                <w:b/>
                <w:bCs/>
                <w:color w:val="auto"/>
                <w:sz w:val="24"/>
                <w:szCs w:val="21"/>
                <w:highlight w:val="none"/>
              </w:rPr>
              <w:t xml:space="preserve"> </w:t>
            </w:r>
          </w:p>
          <w:p w14:paraId="5DE97A1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2.3 教师</w:t>
            </w:r>
            <w:r>
              <w:rPr>
                <w:rFonts w:hint="eastAsia" w:ascii="仿宋_GB2312" w:hAnsi="仿宋" w:eastAsia="仿宋_GB2312" w:cs="仿宋_GB2312"/>
                <w:color w:val="auto"/>
                <w:sz w:val="24"/>
                <w:szCs w:val="21"/>
                <w:highlight w:val="none"/>
              </w:rPr>
              <w:t>可以</w:t>
            </w:r>
            <w:r>
              <w:rPr>
                <w:rFonts w:ascii="仿宋_GB2312" w:hAnsi="仿宋" w:eastAsia="仿宋_GB2312" w:cs="仿宋_GB2312"/>
                <w:color w:val="auto"/>
                <w:sz w:val="24"/>
                <w:szCs w:val="21"/>
                <w:highlight w:val="none"/>
              </w:rPr>
              <w:t>新建教案</w:t>
            </w:r>
            <w:r>
              <w:rPr>
                <w:rFonts w:hint="eastAsia" w:ascii="仿宋_GB2312" w:hAnsi="仿宋" w:eastAsia="仿宋_GB2312" w:cs="仿宋_GB2312"/>
                <w:color w:val="auto"/>
                <w:sz w:val="24"/>
                <w:szCs w:val="21"/>
                <w:highlight w:val="none"/>
              </w:rPr>
              <w:t>，或者</w:t>
            </w:r>
            <w:r>
              <w:rPr>
                <w:rFonts w:ascii="仿宋_GB2312" w:hAnsi="仿宋" w:eastAsia="仿宋_GB2312" w:cs="仿宋_GB2312"/>
                <w:color w:val="auto"/>
                <w:sz w:val="24"/>
                <w:szCs w:val="21"/>
                <w:highlight w:val="none"/>
              </w:rPr>
              <w:t>复制已有教案</w:t>
            </w:r>
            <w:r>
              <w:rPr>
                <w:rFonts w:hint="eastAsia" w:ascii="仿宋_GB2312" w:hAnsi="仿宋" w:eastAsia="仿宋_GB2312" w:cs="仿宋_GB2312"/>
                <w:color w:val="auto"/>
                <w:sz w:val="24"/>
                <w:szCs w:val="21"/>
                <w:highlight w:val="none"/>
              </w:rPr>
              <w:t>进行修改</w:t>
            </w:r>
            <w:r>
              <w:rPr>
                <w:rFonts w:hint="eastAsia" w:ascii="仿宋_GB2312" w:hAnsi="仿宋" w:eastAsia="仿宋_GB2312" w:cs="仿宋_GB2312"/>
                <w:color w:val="auto"/>
                <w:sz w:val="24"/>
                <w:szCs w:val="21"/>
                <w:highlight w:val="none"/>
                <w:lang w:eastAsia="zh-CN"/>
              </w:rPr>
              <w:t>；</w:t>
            </w:r>
          </w:p>
          <w:p w14:paraId="1156D85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 xml:space="preserve">2.4 </w:t>
            </w:r>
            <w:r>
              <w:rPr>
                <w:rFonts w:hint="eastAsia" w:ascii="仿宋_GB2312" w:hAnsi="仿宋" w:eastAsia="仿宋_GB2312" w:cs="仿宋_GB2312"/>
                <w:color w:val="auto"/>
                <w:sz w:val="24"/>
                <w:szCs w:val="21"/>
                <w:highlight w:val="none"/>
              </w:rPr>
              <w:t>支持</w:t>
            </w:r>
            <w:r>
              <w:rPr>
                <w:rFonts w:ascii="仿宋_GB2312" w:hAnsi="仿宋" w:eastAsia="仿宋_GB2312" w:cs="仿宋_GB2312"/>
                <w:color w:val="auto"/>
                <w:sz w:val="24"/>
                <w:szCs w:val="21"/>
                <w:highlight w:val="none"/>
              </w:rPr>
              <w:t>新建单元、合并单元、修改单元名称功能，提供单元合并按钮，一键将</w:t>
            </w:r>
            <w:r>
              <w:rPr>
                <w:rFonts w:hint="eastAsia" w:ascii="仿宋_GB2312" w:hAnsi="仿宋" w:eastAsia="仿宋_GB2312" w:cs="仿宋_GB2312"/>
                <w:color w:val="auto"/>
                <w:sz w:val="24"/>
                <w:szCs w:val="21"/>
                <w:highlight w:val="none"/>
              </w:rPr>
              <w:t>二</w:t>
            </w:r>
            <w:r>
              <w:rPr>
                <w:rFonts w:ascii="仿宋_GB2312" w:hAnsi="仿宋" w:eastAsia="仿宋_GB2312" w:cs="仿宋_GB2312"/>
                <w:color w:val="auto"/>
                <w:sz w:val="24"/>
                <w:szCs w:val="21"/>
                <w:highlight w:val="none"/>
              </w:rPr>
              <w:t>个单元自动合并成</w:t>
            </w:r>
            <w:r>
              <w:rPr>
                <w:rFonts w:hint="eastAsia" w:ascii="仿宋_GB2312" w:hAnsi="仿宋" w:eastAsia="仿宋_GB2312" w:cs="仿宋_GB2312"/>
                <w:color w:val="auto"/>
                <w:sz w:val="24"/>
                <w:szCs w:val="21"/>
                <w:highlight w:val="none"/>
              </w:rPr>
              <w:t>一</w:t>
            </w:r>
            <w:r>
              <w:rPr>
                <w:rFonts w:ascii="仿宋_GB2312" w:hAnsi="仿宋" w:eastAsia="仿宋_GB2312" w:cs="仿宋_GB2312"/>
                <w:color w:val="auto"/>
                <w:sz w:val="24"/>
                <w:szCs w:val="21"/>
                <w:highlight w:val="none"/>
              </w:rPr>
              <w:t>个单元，支持鼠标拖拽移动单元进行排序</w:t>
            </w:r>
            <w:r>
              <w:rPr>
                <w:rFonts w:hint="eastAsia" w:ascii="仿宋_GB2312" w:hAnsi="仿宋" w:eastAsia="仿宋_GB2312" w:cs="仿宋_GB2312"/>
                <w:color w:val="auto"/>
                <w:sz w:val="24"/>
                <w:szCs w:val="21"/>
                <w:highlight w:val="none"/>
                <w:lang w:eastAsia="zh-CN"/>
              </w:rPr>
              <w:t>；</w:t>
            </w:r>
          </w:p>
          <w:p w14:paraId="27CDDB5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2.5 具备个人作业和小组作业准备功能，教师可以给个人和小组布置作业，每一个作业都可以关联知识图谱中的知识点</w:t>
            </w:r>
            <w:r>
              <w:rPr>
                <w:rFonts w:hint="eastAsia" w:ascii="仿宋_GB2312" w:hAnsi="仿宋" w:eastAsia="仿宋_GB2312" w:cs="仿宋_GB2312"/>
                <w:color w:val="auto"/>
                <w:sz w:val="24"/>
                <w:szCs w:val="21"/>
                <w:highlight w:val="none"/>
                <w:lang w:eastAsia="zh-CN"/>
              </w:rPr>
              <w:t>；</w:t>
            </w:r>
          </w:p>
          <w:p w14:paraId="6D5A73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2.6 教师</w:t>
            </w:r>
            <w:r>
              <w:rPr>
                <w:rFonts w:hint="eastAsia" w:ascii="仿宋_GB2312" w:hAnsi="仿宋" w:eastAsia="仿宋_GB2312" w:cs="仿宋_GB2312"/>
                <w:color w:val="auto"/>
                <w:sz w:val="24"/>
                <w:szCs w:val="21"/>
                <w:highlight w:val="none"/>
              </w:rPr>
              <w:t>在制作</w:t>
            </w:r>
            <w:r>
              <w:rPr>
                <w:rFonts w:ascii="仿宋_GB2312" w:hAnsi="仿宋" w:eastAsia="仿宋_GB2312" w:cs="仿宋_GB2312"/>
                <w:color w:val="auto"/>
                <w:sz w:val="24"/>
                <w:szCs w:val="21"/>
                <w:highlight w:val="none"/>
              </w:rPr>
              <w:t>课程教案</w:t>
            </w:r>
            <w:r>
              <w:rPr>
                <w:rFonts w:hint="eastAsia" w:ascii="仿宋_GB2312" w:hAnsi="仿宋" w:eastAsia="仿宋_GB2312" w:cs="仿宋_GB2312"/>
                <w:color w:val="auto"/>
                <w:sz w:val="24"/>
                <w:szCs w:val="21"/>
                <w:highlight w:val="none"/>
              </w:rPr>
              <w:t>时，可以设计</w:t>
            </w:r>
            <w:r>
              <w:rPr>
                <w:rFonts w:ascii="仿宋_GB2312" w:hAnsi="仿宋" w:eastAsia="仿宋_GB2312" w:cs="仿宋_GB2312"/>
                <w:color w:val="auto"/>
                <w:sz w:val="24"/>
                <w:szCs w:val="21"/>
                <w:highlight w:val="none"/>
              </w:rPr>
              <w:t>课堂训练功能，准备完成后，教师可以课堂上</w:t>
            </w:r>
            <w:r>
              <w:rPr>
                <w:rFonts w:hint="eastAsia" w:ascii="仿宋_GB2312" w:hAnsi="仿宋" w:eastAsia="仿宋_GB2312" w:cs="仿宋_GB2312"/>
                <w:color w:val="auto"/>
                <w:sz w:val="24"/>
                <w:szCs w:val="21"/>
                <w:highlight w:val="none"/>
              </w:rPr>
              <w:t>通过智慧语言实验室软件</w:t>
            </w:r>
            <w:r>
              <w:rPr>
                <w:rFonts w:ascii="仿宋_GB2312" w:hAnsi="仿宋" w:eastAsia="仿宋_GB2312" w:cs="仿宋_GB2312"/>
                <w:color w:val="auto"/>
                <w:sz w:val="24"/>
                <w:szCs w:val="21"/>
                <w:highlight w:val="none"/>
              </w:rPr>
              <w:t>打开预设的课堂训练，</w:t>
            </w:r>
            <w:r>
              <w:rPr>
                <w:rFonts w:hint="eastAsia" w:ascii="仿宋_GB2312" w:hAnsi="仿宋" w:eastAsia="仿宋_GB2312" w:cs="仿宋_GB2312"/>
                <w:color w:val="auto"/>
                <w:sz w:val="24"/>
                <w:szCs w:val="21"/>
                <w:highlight w:val="none"/>
              </w:rPr>
              <w:t>会</w:t>
            </w:r>
            <w:r>
              <w:rPr>
                <w:rFonts w:ascii="仿宋_GB2312" w:hAnsi="仿宋" w:eastAsia="仿宋_GB2312" w:cs="仿宋_GB2312"/>
                <w:color w:val="auto"/>
                <w:sz w:val="24"/>
                <w:szCs w:val="21"/>
                <w:highlight w:val="none"/>
              </w:rPr>
              <w:t>自动播放训练素材，自动启动</w:t>
            </w:r>
            <w:r>
              <w:rPr>
                <w:rFonts w:hint="eastAsia" w:ascii="仿宋_GB2312" w:hAnsi="仿宋" w:eastAsia="仿宋_GB2312" w:cs="仿宋_GB2312"/>
                <w:color w:val="auto"/>
                <w:sz w:val="24"/>
                <w:szCs w:val="21"/>
                <w:highlight w:val="none"/>
              </w:rPr>
              <w:t>设计好的课堂训练</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课堂训练的结果会</w:t>
            </w:r>
            <w:r>
              <w:rPr>
                <w:rFonts w:ascii="仿宋_GB2312" w:hAnsi="仿宋" w:eastAsia="仿宋_GB2312" w:cs="仿宋_GB2312"/>
                <w:color w:val="auto"/>
                <w:sz w:val="24"/>
                <w:szCs w:val="21"/>
                <w:highlight w:val="none"/>
              </w:rPr>
              <w:t>自动</w:t>
            </w:r>
            <w:r>
              <w:rPr>
                <w:rFonts w:hint="eastAsia" w:ascii="仿宋_GB2312" w:hAnsi="仿宋" w:eastAsia="仿宋_GB2312" w:cs="仿宋_GB2312"/>
                <w:color w:val="auto"/>
                <w:sz w:val="24"/>
                <w:szCs w:val="21"/>
                <w:highlight w:val="none"/>
              </w:rPr>
              <w:t>记录到</w:t>
            </w:r>
            <w:r>
              <w:rPr>
                <w:rFonts w:ascii="仿宋_GB2312" w:hAnsi="仿宋" w:eastAsia="仿宋_GB2312" w:cs="仿宋_GB2312"/>
                <w:color w:val="auto"/>
                <w:sz w:val="24"/>
                <w:szCs w:val="21"/>
                <w:highlight w:val="none"/>
              </w:rPr>
              <w:t>外语教学平台，形成课堂记录</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每一个课堂训练都可以关联知识图谱中的知识点</w:t>
            </w:r>
            <w:r>
              <w:rPr>
                <w:rFonts w:hint="eastAsia" w:ascii="仿宋_GB2312" w:hAnsi="仿宋" w:eastAsia="仿宋_GB2312" w:cs="仿宋_GB2312"/>
                <w:color w:val="auto"/>
                <w:sz w:val="24"/>
                <w:szCs w:val="21"/>
                <w:highlight w:val="none"/>
                <w:lang w:eastAsia="zh-CN"/>
              </w:rPr>
              <w:t>；</w:t>
            </w:r>
          </w:p>
          <w:p w14:paraId="1FC3B6B2">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 xml:space="preserve">▲2.7 </w:t>
            </w:r>
            <w:r>
              <w:rPr>
                <w:rFonts w:hint="eastAsia" w:ascii="仿宋_GB2312" w:hAnsi="仿宋" w:eastAsia="仿宋_GB2312" w:cs="仿宋_GB2312"/>
                <w:color w:val="auto"/>
                <w:sz w:val="24"/>
                <w:szCs w:val="21"/>
                <w:highlight w:val="none"/>
              </w:rPr>
              <w:t>提供</w:t>
            </w:r>
            <w:r>
              <w:rPr>
                <w:rFonts w:ascii="仿宋_GB2312" w:hAnsi="仿宋" w:eastAsia="仿宋_GB2312" w:cs="仿宋_GB2312"/>
                <w:color w:val="auto"/>
                <w:sz w:val="24"/>
                <w:szCs w:val="21"/>
                <w:highlight w:val="none"/>
              </w:rPr>
              <w:t>智能</w:t>
            </w:r>
            <w:r>
              <w:rPr>
                <w:rFonts w:hint="eastAsia" w:ascii="仿宋_GB2312" w:hAnsi="仿宋" w:eastAsia="仿宋_GB2312" w:cs="仿宋_GB2312"/>
                <w:color w:val="auto"/>
                <w:sz w:val="24"/>
                <w:szCs w:val="21"/>
                <w:highlight w:val="none"/>
              </w:rPr>
              <w:t>翻译功能，可以把一种国家的语言的文字内容智能翻译成其它国家语言</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提供</w:t>
            </w:r>
            <w:r>
              <w:rPr>
                <w:rFonts w:ascii="仿宋_GB2312" w:hAnsi="仿宋" w:eastAsia="仿宋_GB2312" w:cs="仿宋_GB2312"/>
                <w:color w:val="auto"/>
                <w:sz w:val="24"/>
                <w:szCs w:val="21"/>
                <w:highlight w:val="none"/>
              </w:rPr>
              <w:t>语音合成备课工具</w:t>
            </w:r>
            <w:r>
              <w:rPr>
                <w:rFonts w:hint="eastAsia" w:ascii="仿宋_GB2312" w:hAnsi="仿宋" w:eastAsia="仿宋_GB2312" w:cs="仿宋_GB2312"/>
                <w:color w:val="auto"/>
                <w:sz w:val="24"/>
                <w:szCs w:val="21"/>
                <w:highlight w:val="none"/>
              </w:rPr>
              <w:t>，可以把语言文字智能合成语音</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具备</w:t>
            </w:r>
            <w:r>
              <w:rPr>
                <w:rFonts w:ascii="仿宋_GB2312" w:hAnsi="仿宋" w:eastAsia="仿宋_GB2312" w:cs="仿宋_GB2312"/>
                <w:color w:val="auto"/>
                <w:sz w:val="24"/>
                <w:szCs w:val="21"/>
                <w:highlight w:val="none"/>
              </w:rPr>
              <w:t>语速与语调</w:t>
            </w:r>
            <w:r>
              <w:rPr>
                <w:rFonts w:hint="eastAsia" w:ascii="仿宋_GB2312" w:hAnsi="仿宋" w:eastAsia="仿宋_GB2312" w:cs="仿宋_GB2312"/>
                <w:color w:val="auto"/>
                <w:sz w:val="24"/>
                <w:szCs w:val="21"/>
                <w:highlight w:val="none"/>
              </w:rPr>
              <w:t>调节功能</w:t>
            </w:r>
            <w:r>
              <w:rPr>
                <w:rFonts w:ascii="仿宋_GB2312" w:hAnsi="仿宋" w:eastAsia="仿宋_GB2312" w:cs="仿宋_GB2312"/>
                <w:color w:val="auto"/>
                <w:sz w:val="24"/>
                <w:szCs w:val="21"/>
                <w:highlight w:val="none"/>
              </w:rPr>
              <w:t>，可以</w:t>
            </w:r>
            <w:r>
              <w:rPr>
                <w:rFonts w:hint="eastAsia" w:ascii="仿宋_GB2312" w:hAnsi="仿宋" w:eastAsia="仿宋_GB2312" w:cs="仿宋_GB2312"/>
                <w:color w:val="auto"/>
                <w:sz w:val="24"/>
                <w:szCs w:val="21"/>
                <w:highlight w:val="none"/>
              </w:rPr>
              <w:t>把</w:t>
            </w:r>
            <w:r>
              <w:rPr>
                <w:rFonts w:ascii="仿宋_GB2312" w:hAnsi="仿宋" w:eastAsia="仿宋_GB2312" w:cs="仿宋_GB2312"/>
                <w:color w:val="auto"/>
                <w:sz w:val="24"/>
                <w:szCs w:val="21"/>
                <w:highlight w:val="none"/>
              </w:rPr>
              <w:t>合成结果保存为MP3文件</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工具支持</w:t>
            </w:r>
            <w:r>
              <w:rPr>
                <w:rFonts w:ascii="仿宋_GB2312" w:hAnsi="仿宋" w:eastAsia="仿宋_GB2312" w:cs="仿宋_GB2312"/>
                <w:color w:val="auto"/>
                <w:sz w:val="24"/>
                <w:szCs w:val="21"/>
                <w:highlight w:val="none"/>
              </w:rPr>
              <w:t>英语、日语、韩语、德语、法语、西班牙语、俄语、汉语、阿拉伯语、泰语、印尼语</w:t>
            </w:r>
            <w:r>
              <w:rPr>
                <w:rFonts w:hint="eastAsia" w:ascii="仿宋_GB2312" w:hAnsi="仿宋" w:eastAsia="仿宋_GB2312" w:cs="仿宋_GB2312"/>
                <w:color w:val="auto"/>
                <w:sz w:val="24"/>
                <w:szCs w:val="21"/>
                <w:highlight w:val="none"/>
              </w:rPr>
              <w:t>不少于</w:t>
            </w:r>
            <w:r>
              <w:rPr>
                <w:rFonts w:ascii="仿宋_GB2312" w:hAnsi="仿宋" w:eastAsia="仿宋_GB2312" w:cs="仿宋_GB2312"/>
                <w:color w:val="auto"/>
                <w:sz w:val="24"/>
                <w:szCs w:val="21"/>
                <w:highlight w:val="none"/>
              </w:rPr>
              <w:t>20个语种的合成语料</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65F0DAC7">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ascii="仿宋_GB2312" w:hAnsi="仿宋" w:eastAsia="仿宋_GB2312" w:cs="仿宋_GB2312"/>
                <w:color w:val="auto"/>
                <w:sz w:val="24"/>
                <w:szCs w:val="21"/>
                <w:highlight w:val="none"/>
              </w:rPr>
              <w:t>讨论答疑</w:t>
            </w:r>
          </w:p>
          <w:p w14:paraId="00B9C51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 xml:space="preserve">3.1 </w:t>
            </w:r>
            <w:r>
              <w:rPr>
                <w:rFonts w:hint="eastAsia" w:ascii="仿宋_GB2312" w:hAnsi="仿宋" w:eastAsia="仿宋_GB2312" w:cs="仿宋_GB2312"/>
                <w:color w:val="auto"/>
                <w:sz w:val="24"/>
                <w:szCs w:val="21"/>
                <w:highlight w:val="none"/>
              </w:rPr>
              <w:t>支持为</w:t>
            </w:r>
            <w:r>
              <w:rPr>
                <w:rFonts w:ascii="仿宋_GB2312" w:hAnsi="仿宋" w:eastAsia="仿宋_GB2312" w:cs="仿宋_GB2312"/>
                <w:color w:val="auto"/>
                <w:sz w:val="24"/>
                <w:szCs w:val="21"/>
                <w:highlight w:val="none"/>
              </w:rPr>
              <w:t>每个教学班</w:t>
            </w:r>
            <w:r>
              <w:rPr>
                <w:rFonts w:hint="eastAsia" w:ascii="仿宋_GB2312" w:hAnsi="仿宋" w:eastAsia="仿宋_GB2312" w:cs="仿宋_GB2312"/>
                <w:color w:val="auto"/>
                <w:sz w:val="24"/>
                <w:szCs w:val="21"/>
                <w:highlight w:val="none"/>
              </w:rPr>
              <w:t>设置</w:t>
            </w:r>
            <w:r>
              <w:rPr>
                <w:rFonts w:ascii="仿宋_GB2312" w:hAnsi="仿宋" w:eastAsia="仿宋_GB2312" w:cs="仿宋_GB2312"/>
                <w:color w:val="auto"/>
                <w:sz w:val="24"/>
                <w:szCs w:val="21"/>
                <w:highlight w:val="none"/>
              </w:rPr>
              <w:t>讨论区，授课教师和本班学生可以参与在线交流</w:t>
            </w:r>
            <w:r>
              <w:rPr>
                <w:rFonts w:hint="eastAsia" w:ascii="仿宋_GB2312" w:hAnsi="仿宋" w:eastAsia="仿宋_GB2312" w:cs="仿宋_GB2312"/>
                <w:color w:val="auto"/>
                <w:sz w:val="24"/>
                <w:szCs w:val="21"/>
                <w:highlight w:val="none"/>
                <w:lang w:eastAsia="zh-CN"/>
              </w:rPr>
              <w:t>；</w:t>
            </w:r>
          </w:p>
          <w:p w14:paraId="61415E14">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▲3.2 教师和学生可以在讨论区发帖提问，教师学生均可回贴；主贴、回帖可以继续回复或点赞；支持图片和字体；支持为主贴设置分类</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7ABE8F5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3.3 教师有权置顶、删除帖子；支持帖子主题和分类搜索帖子</w:t>
            </w:r>
            <w:r>
              <w:rPr>
                <w:rFonts w:hint="eastAsia" w:ascii="仿宋_GB2312" w:hAnsi="仿宋" w:eastAsia="仿宋_GB2312" w:cs="仿宋_GB2312"/>
                <w:color w:val="auto"/>
                <w:sz w:val="24"/>
                <w:szCs w:val="21"/>
                <w:highlight w:val="none"/>
                <w:lang w:eastAsia="zh-CN"/>
              </w:rPr>
              <w:t>；</w:t>
            </w:r>
          </w:p>
          <w:p w14:paraId="397015A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设置</w:t>
            </w:r>
            <w:r>
              <w:rPr>
                <w:rFonts w:ascii="仿宋_GB2312" w:hAnsi="仿宋" w:eastAsia="仿宋_GB2312" w:cs="仿宋_GB2312"/>
                <w:color w:val="auto"/>
                <w:sz w:val="24"/>
                <w:szCs w:val="21"/>
                <w:highlight w:val="none"/>
              </w:rPr>
              <w:t>作业</w:t>
            </w:r>
          </w:p>
          <w:p w14:paraId="0E1C17F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rPr>
              <w:t>1</w:t>
            </w:r>
            <w:r>
              <w:rPr>
                <w:rFonts w:ascii="仿宋_GB2312" w:hAnsi="仿宋" w:eastAsia="仿宋_GB2312" w:cs="仿宋_GB2312"/>
                <w:color w:val="auto"/>
                <w:sz w:val="24"/>
                <w:szCs w:val="21"/>
                <w:highlight w:val="none"/>
              </w:rPr>
              <w:t xml:space="preserve"> 作业形式包含预设</w:t>
            </w:r>
            <w:r>
              <w:rPr>
                <w:rFonts w:hint="eastAsia" w:ascii="仿宋_GB2312" w:hAnsi="仿宋" w:eastAsia="仿宋_GB2312" w:cs="仿宋_GB2312"/>
                <w:color w:val="auto"/>
                <w:sz w:val="24"/>
                <w:szCs w:val="21"/>
                <w:highlight w:val="none"/>
              </w:rPr>
              <w:t>作业、</w:t>
            </w:r>
            <w:r>
              <w:rPr>
                <w:rFonts w:ascii="仿宋_GB2312" w:hAnsi="仿宋" w:eastAsia="仿宋_GB2312" w:cs="仿宋_GB2312"/>
                <w:color w:val="auto"/>
                <w:sz w:val="24"/>
                <w:szCs w:val="21"/>
                <w:highlight w:val="none"/>
              </w:rPr>
              <w:t>小组</w:t>
            </w:r>
            <w:r>
              <w:rPr>
                <w:rFonts w:hint="eastAsia" w:ascii="仿宋_GB2312" w:hAnsi="仿宋" w:eastAsia="仿宋_GB2312" w:cs="仿宋_GB2312"/>
                <w:color w:val="auto"/>
                <w:sz w:val="24"/>
                <w:szCs w:val="21"/>
                <w:highlight w:val="none"/>
              </w:rPr>
              <w:t>作业和个人</w:t>
            </w:r>
            <w:r>
              <w:rPr>
                <w:rFonts w:ascii="仿宋_GB2312" w:hAnsi="仿宋" w:eastAsia="仿宋_GB2312" w:cs="仿宋_GB2312"/>
                <w:color w:val="auto"/>
                <w:sz w:val="24"/>
                <w:szCs w:val="21"/>
                <w:highlight w:val="none"/>
              </w:rPr>
              <w:t>作业三种</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预设作业支持</w:t>
            </w:r>
            <w:r>
              <w:rPr>
                <w:rFonts w:hint="eastAsia" w:ascii="仿宋_GB2312" w:hAnsi="仿宋" w:eastAsia="仿宋_GB2312" w:cs="仿宋_GB2312"/>
                <w:color w:val="auto"/>
                <w:sz w:val="24"/>
                <w:szCs w:val="21"/>
                <w:highlight w:val="none"/>
              </w:rPr>
              <w:t>教师</w:t>
            </w:r>
            <w:r>
              <w:rPr>
                <w:rFonts w:ascii="仿宋_GB2312" w:hAnsi="仿宋" w:eastAsia="仿宋_GB2312" w:cs="仿宋_GB2312"/>
                <w:color w:val="auto"/>
                <w:sz w:val="24"/>
                <w:szCs w:val="21"/>
                <w:highlight w:val="none"/>
              </w:rPr>
              <w:t>直接选取平台</w:t>
            </w:r>
            <w:r>
              <w:rPr>
                <w:rFonts w:hint="eastAsia" w:ascii="仿宋_GB2312" w:hAnsi="仿宋" w:eastAsia="仿宋_GB2312" w:cs="仿宋_GB2312"/>
                <w:color w:val="auto"/>
                <w:sz w:val="24"/>
                <w:szCs w:val="21"/>
                <w:highlight w:val="none"/>
              </w:rPr>
              <w:t>数字化</w:t>
            </w:r>
            <w:r>
              <w:rPr>
                <w:rFonts w:ascii="仿宋_GB2312" w:hAnsi="仿宋" w:eastAsia="仿宋_GB2312" w:cs="仿宋_GB2312"/>
                <w:color w:val="auto"/>
                <w:sz w:val="24"/>
                <w:szCs w:val="21"/>
                <w:highlight w:val="none"/>
              </w:rPr>
              <w:t>教案中的资料作为作业布置给学生</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小组作业支持教师对教学班内</w:t>
            </w:r>
            <w:r>
              <w:rPr>
                <w:rFonts w:hint="eastAsia" w:ascii="仿宋_GB2312" w:hAnsi="仿宋" w:eastAsia="仿宋_GB2312" w:cs="仿宋_GB2312"/>
                <w:color w:val="auto"/>
                <w:sz w:val="24"/>
                <w:szCs w:val="21"/>
                <w:highlight w:val="none"/>
              </w:rPr>
              <w:t>预先设置好的</w:t>
            </w:r>
            <w:r>
              <w:rPr>
                <w:rFonts w:ascii="仿宋_GB2312" w:hAnsi="仿宋" w:eastAsia="仿宋_GB2312" w:cs="仿宋_GB2312"/>
                <w:color w:val="auto"/>
                <w:sz w:val="24"/>
                <w:szCs w:val="21"/>
                <w:highlight w:val="none"/>
              </w:rPr>
              <w:t>有小组布置作业，一个小组只需递交一份作业</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个人作业，支持教师给全班同学布置作业</w:t>
            </w:r>
            <w:r>
              <w:rPr>
                <w:rFonts w:hint="eastAsia" w:ascii="仿宋_GB2312" w:hAnsi="仿宋" w:eastAsia="仿宋_GB2312" w:cs="仿宋_GB2312"/>
                <w:color w:val="auto"/>
                <w:sz w:val="24"/>
                <w:szCs w:val="21"/>
                <w:highlight w:val="none"/>
                <w:lang w:eastAsia="zh-CN"/>
              </w:rPr>
              <w:t>；</w:t>
            </w:r>
          </w:p>
          <w:p w14:paraId="4842D96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rPr>
              <w:t>2</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教师布置作业时，可以</w:t>
            </w:r>
            <w:r>
              <w:rPr>
                <w:rFonts w:ascii="仿宋_GB2312" w:hAnsi="仿宋" w:eastAsia="仿宋_GB2312" w:cs="仿宋_GB2312"/>
                <w:color w:val="auto"/>
                <w:sz w:val="24"/>
                <w:szCs w:val="21"/>
                <w:highlight w:val="none"/>
              </w:rPr>
              <w:t>设置作业信息、备注、添加附件、截止日期和是否允许补交；到截止日期</w:t>
            </w:r>
            <w:r>
              <w:rPr>
                <w:rFonts w:hint="eastAsia" w:ascii="仿宋_GB2312" w:hAnsi="仿宋" w:eastAsia="仿宋_GB2312" w:cs="仿宋_GB2312"/>
                <w:color w:val="auto"/>
                <w:sz w:val="24"/>
                <w:szCs w:val="21"/>
                <w:highlight w:val="none"/>
              </w:rPr>
              <w:t>平台</w:t>
            </w:r>
            <w:r>
              <w:rPr>
                <w:rFonts w:ascii="仿宋_GB2312" w:hAnsi="仿宋" w:eastAsia="仿宋_GB2312" w:cs="仿宋_GB2312"/>
                <w:color w:val="auto"/>
                <w:sz w:val="24"/>
                <w:szCs w:val="21"/>
                <w:highlight w:val="none"/>
              </w:rPr>
              <w:t>自动停止学生递交作业；设置允许补交的作业到期后可以继续提交作业，</w:t>
            </w:r>
            <w:r>
              <w:rPr>
                <w:rFonts w:hint="eastAsia" w:ascii="仿宋_GB2312" w:hAnsi="仿宋" w:eastAsia="仿宋_GB2312" w:cs="仿宋_GB2312"/>
                <w:color w:val="auto"/>
                <w:sz w:val="24"/>
                <w:szCs w:val="21"/>
                <w:highlight w:val="none"/>
              </w:rPr>
              <w:t>平台</w:t>
            </w:r>
            <w:r>
              <w:rPr>
                <w:rFonts w:ascii="仿宋_GB2312" w:hAnsi="仿宋" w:eastAsia="仿宋_GB2312" w:cs="仿宋_GB2312"/>
                <w:color w:val="auto"/>
                <w:sz w:val="24"/>
                <w:szCs w:val="21"/>
                <w:highlight w:val="none"/>
              </w:rPr>
              <w:t>自动标记为补交的作业</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 xml:space="preserve"> </w:t>
            </w:r>
          </w:p>
          <w:p w14:paraId="62112227">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 xml:space="preserve">4.3 </w:t>
            </w:r>
            <w:r>
              <w:rPr>
                <w:rFonts w:hint="eastAsia" w:ascii="仿宋_GB2312" w:hAnsi="仿宋" w:eastAsia="仿宋_GB2312" w:cs="仿宋_GB2312"/>
                <w:color w:val="auto"/>
                <w:sz w:val="24"/>
                <w:szCs w:val="21"/>
                <w:highlight w:val="none"/>
              </w:rPr>
              <w:t>平台</w:t>
            </w:r>
            <w:r>
              <w:rPr>
                <w:rFonts w:ascii="仿宋_GB2312" w:hAnsi="仿宋" w:eastAsia="仿宋_GB2312" w:cs="仿宋_GB2312"/>
                <w:color w:val="auto"/>
                <w:sz w:val="24"/>
                <w:szCs w:val="21"/>
                <w:highlight w:val="none"/>
              </w:rPr>
              <w:t>按照教学班自动汇总、统计所有作业</w:t>
            </w:r>
            <w:r>
              <w:rPr>
                <w:rFonts w:hint="eastAsia" w:ascii="仿宋_GB2312" w:hAnsi="仿宋" w:eastAsia="仿宋_GB2312" w:cs="仿宋_GB2312"/>
                <w:color w:val="auto"/>
                <w:sz w:val="24"/>
                <w:szCs w:val="21"/>
                <w:highlight w:val="none"/>
              </w:rPr>
              <w:t>，教师可以通过平台</w:t>
            </w:r>
            <w:r>
              <w:rPr>
                <w:rFonts w:ascii="仿宋_GB2312" w:hAnsi="仿宋" w:eastAsia="仿宋_GB2312" w:cs="仿宋_GB2312"/>
                <w:color w:val="auto"/>
                <w:sz w:val="24"/>
                <w:szCs w:val="21"/>
                <w:highlight w:val="none"/>
              </w:rPr>
              <w:t>在一个界面中展示进行中作业、已截止作业、作业剩余天数和作业递交情况</w:t>
            </w:r>
            <w:r>
              <w:rPr>
                <w:rFonts w:hint="eastAsia" w:ascii="仿宋_GB2312" w:hAnsi="仿宋" w:eastAsia="仿宋_GB2312" w:cs="仿宋_GB2312"/>
                <w:color w:val="auto"/>
                <w:sz w:val="24"/>
                <w:szCs w:val="21"/>
                <w:highlight w:val="none"/>
                <w:lang w:eastAsia="zh-CN"/>
              </w:rPr>
              <w:t>；</w:t>
            </w:r>
          </w:p>
          <w:p w14:paraId="0A2CA3D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4.4学生在线</w:t>
            </w:r>
            <w:r>
              <w:rPr>
                <w:rFonts w:hint="eastAsia" w:ascii="仿宋_GB2312" w:hAnsi="仿宋" w:eastAsia="仿宋_GB2312" w:cs="仿宋_GB2312"/>
                <w:color w:val="auto"/>
                <w:sz w:val="24"/>
                <w:szCs w:val="21"/>
                <w:highlight w:val="none"/>
              </w:rPr>
              <w:t>提交</w:t>
            </w:r>
            <w:r>
              <w:rPr>
                <w:rFonts w:ascii="仿宋_GB2312" w:hAnsi="仿宋" w:eastAsia="仿宋_GB2312" w:cs="仿宋_GB2312"/>
                <w:color w:val="auto"/>
                <w:sz w:val="24"/>
                <w:szCs w:val="21"/>
                <w:highlight w:val="none"/>
              </w:rPr>
              <w:t>作业</w:t>
            </w:r>
            <w:r>
              <w:rPr>
                <w:rFonts w:hint="eastAsia" w:ascii="仿宋_GB2312" w:hAnsi="仿宋" w:eastAsia="仿宋_GB2312" w:cs="仿宋_GB2312"/>
                <w:color w:val="auto"/>
                <w:sz w:val="24"/>
                <w:szCs w:val="21"/>
                <w:highlight w:val="none"/>
              </w:rPr>
              <w:t>后，可以自动批改的作业，平台会</w:t>
            </w:r>
            <w:r>
              <w:rPr>
                <w:rFonts w:ascii="仿宋_GB2312" w:hAnsi="仿宋" w:eastAsia="仿宋_GB2312" w:cs="仿宋_GB2312"/>
                <w:color w:val="auto"/>
                <w:sz w:val="24"/>
                <w:szCs w:val="21"/>
                <w:highlight w:val="none"/>
              </w:rPr>
              <w:t>自动批改</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不能</w:t>
            </w:r>
            <w:r>
              <w:rPr>
                <w:rFonts w:hint="eastAsia" w:ascii="仿宋_GB2312" w:hAnsi="仿宋" w:eastAsia="仿宋_GB2312" w:cs="仿宋_GB2312"/>
                <w:color w:val="auto"/>
                <w:sz w:val="24"/>
                <w:szCs w:val="21"/>
                <w:highlight w:val="none"/>
              </w:rPr>
              <w:t>自动</w:t>
            </w:r>
            <w:r>
              <w:rPr>
                <w:rFonts w:ascii="仿宋_GB2312" w:hAnsi="仿宋" w:eastAsia="仿宋_GB2312" w:cs="仿宋_GB2312"/>
                <w:color w:val="auto"/>
                <w:sz w:val="24"/>
                <w:szCs w:val="21"/>
                <w:highlight w:val="none"/>
              </w:rPr>
              <w:t>批改的部分</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由教师手动批改</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教师在批改作业过程中可以按照学生姓名、学号和作业递交情况进行排序，查看整体作业情况</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教师在批改过程中可以</w:t>
            </w:r>
            <w:r>
              <w:rPr>
                <w:rFonts w:hint="eastAsia" w:ascii="仿宋_GB2312" w:hAnsi="仿宋" w:eastAsia="仿宋_GB2312" w:cs="仿宋_GB2312"/>
                <w:color w:val="auto"/>
                <w:sz w:val="24"/>
                <w:szCs w:val="21"/>
                <w:highlight w:val="none"/>
              </w:rPr>
              <w:t>多某个学生的作业加</w:t>
            </w:r>
            <w:r>
              <w:rPr>
                <w:rFonts w:ascii="仿宋_GB2312" w:hAnsi="仿宋" w:eastAsia="仿宋_GB2312" w:cs="仿宋_GB2312"/>
                <w:color w:val="auto"/>
                <w:sz w:val="24"/>
                <w:szCs w:val="21"/>
                <w:highlight w:val="none"/>
              </w:rPr>
              <w:t>标星</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 xml:space="preserve"> </w:t>
            </w:r>
          </w:p>
          <w:p w14:paraId="2216A08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ascii="仿宋_GB2312" w:hAnsi="仿宋" w:eastAsia="仿宋_GB2312" w:cs="仿宋_GB2312"/>
                <w:color w:val="auto"/>
                <w:sz w:val="24"/>
                <w:szCs w:val="21"/>
                <w:highlight w:val="none"/>
              </w:rPr>
              <w:t>成绩</w:t>
            </w:r>
            <w:r>
              <w:rPr>
                <w:rFonts w:hint="eastAsia" w:ascii="仿宋_GB2312" w:hAnsi="仿宋" w:eastAsia="仿宋_GB2312" w:cs="仿宋_GB2312"/>
                <w:color w:val="auto"/>
                <w:sz w:val="24"/>
                <w:szCs w:val="21"/>
                <w:highlight w:val="none"/>
              </w:rPr>
              <w:t>统计</w:t>
            </w:r>
          </w:p>
          <w:p w14:paraId="474D94C7">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5.1 平台自动汇总、统计</w:t>
            </w:r>
            <w:r>
              <w:rPr>
                <w:rFonts w:hint="eastAsia" w:ascii="仿宋_GB2312" w:hAnsi="仿宋" w:eastAsia="仿宋_GB2312" w:cs="仿宋_GB2312"/>
                <w:color w:val="auto"/>
                <w:sz w:val="24"/>
                <w:szCs w:val="21"/>
                <w:highlight w:val="none"/>
              </w:rPr>
              <w:t>教学</w:t>
            </w:r>
            <w:r>
              <w:rPr>
                <w:rFonts w:ascii="仿宋_GB2312" w:hAnsi="仿宋" w:eastAsia="仿宋_GB2312" w:cs="仿宋_GB2312"/>
                <w:color w:val="auto"/>
                <w:sz w:val="24"/>
                <w:szCs w:val="21"/>
                <w:highlight w:val="none"/>
              </w:rPr>
              <w:t>数据</w:t>
            </w:r>
            <w:r>
              <w:rPr>
                <w:rFonts w:hint="eastAsia" w:ascii="仿宋_GB2312" w:hAnsi="仿宋" w:eastAsia="仿宋_GB2312" w:cs="仿宋_GB2312"/>
                <w:color w:val="auto"/>
                <w:sz w:val="24"/>
                <w:szCs w:val="21"/>
                <w:highlight w:val="none"/>
                <w:lang w:eastAsia="zh-CN"/>
              </w:rPr>
              <w:t>；</w:t>
            </w:r>
          </w:p>
          <w:p w14:paraId="322E0E7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 xml:space="preserve">5.2 </w:t>
            </w:r>
            <w:r>
              <w:rPr>
                <w:rFonts w:hint="eastAsia" w:ascii="仿宋_GB2312" w:hAnsi="仿宋" w:eastAsia="仿宋_GB2312" w:cs="仿宋_GB2312"/>
                <w:color w:val="auto"/>
                <w:sz w:val="24"/>
                <w:szCs w:val="21"/>
                <w:highlight w:val="none"/>
              </w:rPr>
              <w:t>平台支持</w:t>
            </w:r>
            <w:r>
              <w:rPr>
                <w:rFonts w:ascii="仿宋_GB2312" w:hAnsi="仿宋" w:eastAsia="仿宋_GB2312" w:cs="仿宋_GB2312"/>
                <w:color w:val="auto"/>
                <w:sz w:val="24"/>
                <w:szCs w:val="21"/>
                <w:highlight w:val="none"/>
              </w:rPr>
              <w:t>用雷达图、柱状图和折线图等形式显示当前课程</w:t>
            </w:r>
            <w:r>
              <w:rPr>
                <w:rFonts w:hint="eastAsia" w:ascii="仿宋_GB2312" w:hAnsi="仿宋" w:eastAsia="仿宋_GB2312" w:cs="仿宋_GB2312"/>
                <w:color w:val="auto"/>
                <w:sz w:val="24"/>
                <w:szCs w:val="21"/>
                <w:highlight w:val="none"/>
              </w:rPr>
              <w:t>的</w:t>
            </w:r>
            <w:r>
              <w:rPr>
                <w:rFonts w:ascii="仿宋_GB2312" w:hAnsi="仿宋" w:eastAsia="仿宋_GB2312" w:cs="仿宋_GB2312"/>
                <w:color w:val="auto"/>
                <w:sz w:val="24"/>
                <w:szCs w:val="21"/>
                <w:highlight w:val="none"/>
              </w:rPr>
              <w:t>所有教学班的平均数据</w:t>
            </w:r>
            <w:r>
              <w:rPr>
                <w:rFonts w:hint="eastAsia" w:ascii="仿宋_GB2312" w:hAnsi="仿宋" w:eastAsia="仿宋_GB2312" w:cs="仿宋_GB2312"/>
                <w:color w:val="auto"/>
                <w:sz w:val="24"/>
                <w:szCs w:val="21"/>
                <w:highlight w:val="none"/>
              </w:rPr>
              <w:t>以及</w:t>
            </w:r>
            <w:r>
              <w:rPr>
                <w:rFonts w:ascii="仿宋_GB2312" w:hAnsi="仿宋" w:eastAsia="仿宋_GB2312" w:cs="仿宋_GB2312"/>
                <w:color w:val="auto"/>
                <w:sz w:val="24"/>
                <w:szCs w:val="21"/>
                <w:highlight w:val="none"/>
              </w:rPr>
              <w:t>学班之间的数据对比</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 xml:space="preserve"> </w:t>
            </w:r>
          </w:p>
          <w:p w14:paraId="35B26515">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rPr>
              <w:t>3</w:t>
            </w:r>
            <w:r>
              <w:rPr>
                <w:rFonts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rPr>
              <w:t>支持按照</w:t>
            </w:r>
            <w:r>
              <w:rPr>
                <w:rFonts w:ascii="仿宋_GB2312" w:hAnsi="仿宋" w:eastAsia="仿宋_GB2312" w:cs="仿宋_GB2312"/>
                <w:color w:val="auto"/>
                <w:sz w:val="24"/>
                <w:szCs w:val="21"/>
                <w:highlight w:val="none"/>
              </w:rPr>
              <w:t>知识图</w:t>
            </w:r>
            <w:r>
              <w:rPr>
                <w:rFonts w:hint="eastAsia" w:ascii="仿宋_GB2312" w:hAnsi="仿宋" w:eastAsia="仿宋_GB2312" w:cs="仿宋_GB2312"/>
                <w:color w:val="auto"/>
                <w:sz w:val="24"/>
                <w:szCs w:val="21"/>
                <w:highlight w:val="none"/>
              </w:rPr>
              <w:t>中知识点</w:t>
            </w:r>
            <w:r>
              <w:rPr>
                <w:rFonts w:ascii="仿宋_GB2312" w:hAnsi="仿宋" w:eastAsia="仿宋_GB2312" w:cs="仿宋_GB2312"/>
                <w:color w:val="auto"/>
                <w:sz w:val="24"/>
                <w:szCs w:val="21"/>
                <w:highlight w:val="none"/>
              </w:rPr>
              <w:t>显示当前教学班的得分</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1AF24348">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rPr>
              <w:t>4</w:t>
            </w:r>
            <w:r>
              <w:rPr>
                <w:rFonts w:ascii="仿宋_GB2312" w:hAnsi="仿宋" w:eastAsia="仿宋_GB2312" w:cs="仿宋_GB2312"/>
                <w:color w:val="auto"/>
                <w:sz w:val="24"/>
                <w:szCs w:val="21"/>
                <w:highlight w:val="none"/>
              </w:rPr>
              <w:t xml:space="preserve"> 教师</w:t>
            </w:r>
            <w:r>
              <w:rPr>
                <w:rFonts w:hint="eastAsia" w:ascii="仿宋_GB2312" w:hAnsi="仿宋" w:eastAsia="仿宋_GB2312" w:cs="仿宋_GB2312"/>
                <w:color w:val="auto"/>
                <w:sz w:val="24"/>
                <w:szCs w:val="21"/>
                <w:highlight w:val="none"/>
              </w:rPr>
              <w:t>可以</w:t>
            </w:r>
            <w:r>
              <w:rPr>
                <w:rFonts w:ascii="仿宋_GB2312" w:hAnsi="仿宋" w:eastAsia="仿宋_GB2312" w:cs="仿宋_GB2312"/>
                <w:color w:val="auto"/>
                <w:sz w:val="24"/>
                <w:szCs w:val="21"/>
                <w:highlight w:val="none"/>
              </w:rPr>
              <w:t>自主设计评分公式，汇总生成学生的总成绩</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评分维度包括：考勤、课堂发言、课堂教学活动、课堂评价、讨论答疑、作业等；成绩列表显示学生每个维度的详细数据和得分</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0348186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ascii="仿宋_GB2312" w:hAnsi="仿宋" w:eastAsia="仿宋_GB2312" w:cs="仿宋_GB2312"/>
                <w:color w:val="auto"/>
                <w:sz w:val="24"/>
                <w:szCs w:val="21"/>
                <w:highlight w:val="none"/>
              </w:rPr>
              <w:t>统一管理</w:t>
            </w:r>
          </w:p>
          <w:p w14:paraId="38D750B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sz w:val="24"/>
                <w:szCs w:val="21"/>
                <w:highlight w:val="none"/>
              </w:rPr>
              <w:t xml:space="preserve">6.1 </w:t>
            </w:r>
            <w:r>
              <w:rPr>
                <w:rFonts w:hint="eastAsia" w:ascii="仿宋_GB2312" w:hAnsi="仿宋" w:eastAsia="仿宋_GB2312" w:cs="仿宋_GB2312"/>
                <w:color w:val="auto"/>
                <w:sz w:val="24"/>
                <w:szCs w:val="21"/>
                <w:highlight w:val="none"/>
              </w:rPr>
              <w:t>支持</w:t>
            </w:r>
            <w:r>
              <w:rPr>
                <w:rFonts w:ascii="仿宋_GB2312" w:hAnsi="仿宋" w:eastAsia="仿宋_GB2312" w:cs="仿宋_GB2312"/>
                <w:color w:val="auto"/>
                <w:sz w:val="24"/>
                <w:szCs w:val="21"/>
                <w:highlight w:val="none"/>
              </w:rPr>
              <w:t>账号</w:t>
            </w:r>
            <w:r>
              <w:rPr>
                <w:rFonts w:hint="eastAsia" w:ascii="仿宋_GB2312" w:hAnsi="仿宋" w:eastAsia="仿宋_GB2312" w:cs="仿宋_GB2312"/>
                <w:color w:val="auto"/>
                <w:sz w:val="24"/>
                <w:szCs w:val="21"/>
                <w:highlight w:val="none"/>
              </w:rPr>
              <w:t>管理</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可以</w:t>
            </w:r>
            <w:r>
              <w:rPr>
                <w:rFonts w:ascii="仿宋_GB2312" w:hAnsi="仿宋" w:eastAsia="仿宋_GB2312" w:cs="仿宋_GB2312"/>
                <w:color w:val="auto"/>
                <w:sz w:val="24"/>
                <w:szCs w:val="21"/>
                <w:highlight w:val="none"/>
              </w:rPr>
              <w:t>新增、编辑、删除功能，支持Excel表格导入批量创建教工账号；智慧语言实验室软件、外语教学平台使用统一账号登录，不需要管理员在每个</w:t>
            </w:r>
            <w:r>
              <w:rPr>
                <w:rFonts w:hint="eastAsia" w:ascii="仿宋_GB2312" w:hAnsi="仿宋" w:eastAsia="仿宋_GB2312" w:cs="仿宋_GB2312"/>
                <w:color w:val="auto"/>
                <w:sz w:val="24"/>
                <w:szCs w:val="21"/>
                <w:highlight w:val="none"/>
              </w:rPr>
              <w:t>平台</w:t>
            </w:r>
            <w:r>
              <w:rPr>
                <w:rFonts w:ascii="仿宋_GB2312" w:hAnsi="仿宋" w:eastAsia="仿宋_GB2312" w:cs="仿宋_GB2312"/>
                <w:color w:val="auto"/>
                <w:sz w:val="24"/>
                <w:szCs w:val="21"/>
                <w:highlight w:val="none"/>
              </w:rPr>
              <w:t>里逐一录入教工账号信息</w:t>
            </w:r>
            <w:r>
              <w:rPr>
                <w:rFonts w:hint="eastAsia" w:ascii="仿宋_GB2312" w:hAnsi="仿宋" w:eastAsia="仿宋_GB2312" w:cs="仿宋_GB2312"/>
                <w:color w:val="auto"/>
                <w:sz w:val="24"/>
                <w:szCs w:val="21"/>
                <w:highlight w:val="none"/>
                <w:lang w:eastAsia="zh-CN"/>
              </w:rPr>
              <w:t>；</w:t>
            </w:r>
          </w:p>
          <w:p w14:paraId="14F61755">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rPr>
              <w:t>2</w:t>
            </w:r>
            <w:r>
              <w:rPr>
                <w:rFonts w:ascii="仿宋_GB2312" w:hAnsi="仿宋" w:eastAsia="仿宋_GB2312" w:cs="仿宋_GB2312"/>
                <w:color w:val="auto"/>
                <w:sz w:val="24"/>
                <w:szCs w:val="21"/>
                <w:highlight w:val="none"/>
              </w:rPr>
              <w:t xml:space="preserve"> 具备教室管理功能</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可以</w:t>
            </w:r>
            <w:r>
              <w:rPr>
                <w:rFonts w:ascii="仿宋_GB2312" w:hAnsi="仿宋" w:eastAsia="仿宋_GB2312" w:cs="仿宋_GB2312"/>
                <w:color w:val="auto"/>
                <w:sz w:val="24"/>
                <w:szCs w:val="21"/>
                <w:highlight w:val="none"/>
              </w:rPr>
              <w:t>新增、修改、删除平台统一管理的教室，教室信息包括：所属校区、</w:t>
            </w:r>
            <w:r>
              <w:rPr>
                <w:rFonts w:hint="eastAsia" w:ascii="仿宋_GB2312" w:hAnsi="仿宋" w:eastAsia="仿宋_GB2312" w:cs="仿宋_GB2312"/>
                <w:color w:val="auto"/>
                <w:sz w:val="24"/>
                <w:szCs w:val="21"/>
                <w:highlight w:val="none"/>
              </w:rPr>
              <w:t>教学楼</w:t>
            </w:r>
            <w:r>
              <w:rPr>
                <w:rFonts w:ascii="仿宋_GB2312" w:hAnsi="仿宋" w:eastAsia="仿宋_GB2312" w:cs="仿宋_GB2312"/>
                <w:color w:val="auto"/>
                <w:sz w:val="24"/>
                <w:szCs w:val="21"/>
                <w:highlight w:val="none"/>
              </w:rPr>
              <w:t>、楼层、</w:t>
            </w:r>
            <w:r>
              <w:rPr>
                <w:rFonts w:hint="eastAsia" w:ascii="仿宋_GB2312" w:hAnsi="仿宋" w:eastAsia="仿宋_GB2312" w:cs="仿宋_GB2312"/>
                <w:color w:val="auto"/>
                <w:sz w:val="24"/>
                <w:szCs w:val="21"/>
                <w:highlight w:val="none"/>
              </w:rPr>
              <w:t>教室房间号</w:t>
            </w:r>
            <w:r>
              <w:rPr>
                <w:rFonts w:ascii="仿宋_GB2312" w:hAnsi="仿宋" w:eastAsia="仿宋_GB2312" w:cs="仿宋_GB2312"/>
                <w:color w:val="auto"/>
                <w:sz w:val="24"/>
                <w:szCs w:val="21"/>
                <w:highlight w:val="none"/>
              </w:rPr>
              <w:t>、类型、座位数等</w:t>
            </w:r>
            <w:r>
              <w:rPr>
                <w:rFonts w:hint="eastAsia" w:ascii="仿宋_GB2312" w:hAnsi="仿宋" w:eastAsia="仿宋_GB2312" w:cs="仿宋_GB2312"/>
                <w:color w:val="auto"/>
                <w:sz w:val="24"/>
                <w:szCs w:val="21"/>
                <w:highlight w:val="none"/>
                <w:lang w:eastAsia="zh-CN"/>
              </w:rPr>
              <w:t>；</w:t>
            </w:r>
            <w:r>
              <w:rPr>
                <w:rFonts w:ascii="仿宋_GB2312" w:hAnsi="仿宋" w:eastAsia="仿宋_GB2312" w:cs="仿宋_GB2312"/>
                <w:color w:val="auto"/>
                <w:sz w:val="24"/>
                <w:szCs w:val="21"/>
                <w:highlight w:val="none"/>
              </w:rPr>
              <w:t>具备教室布局图功能</w:t>
            </w:r>
            <w:r>
              <w:rPr>
                <w:rFonts w:hint="eastAsia" w:ascii="仿宋_GB2312" w:hAnsi="仿宋" w:eastAsia="仿宋_GB2312" w:cs="仿宋_GB2312"/>
                <w:color w:val="auto"/>
                <w:sz w:val="24"/>
                <w:szCs w:val="21"/>
                <w:highlight w:val="none"/>
              </w:rPr>
              <w:t>，根据教室实际情况，</w:t>
            </w:r>
            <w:r>
              <w:rPr>
                <w:rFonts w:ascii="仿宋_GB2312" w:hAnsi="仿宋" w:eastAsia="仿宋_GB2312" w:cs="仿宋_GB2312"/>
                <w:color w:val="auto"/>
                <w:sz w:val="24"/>
                <w:szCs w:val="21"/>
                <w:highlight w:val="none"/>
              </w:rPr>
              <w:t>排列终端设备，设置机位号，教师在任意教室登录智慧语言实验室软件都可以自动加载当前教室的教室布局图，方便教师按位置识别学生；可以将不同校区、楼宇、楼层的多个教室组合成虚拟教室</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756C76AB">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ascii="仿宋_GB2312" w:hAnsi="仿宋" w:eastAsia="仿宋_GB2312" w:cs="仿宋_GB2312"/>
                <w:b/>
                <w:bCs/>
                <w:color w:val="auto"/>
                <w:sz w:val="24"/>
                <w:szCs w:val="21"/>
                <w:highlight w:val="none"/>
              </w:rPr>
            </w:pPr>
            <w:r>
              <w:rPr>
                <w:rFonts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rPr>
              <w:t>3</w:t>
            </w:r>
            <w:r>
              <w:rPr>
                <w:rFonts w:ascii="仿宋_GB2312" w:hAnsi="仿宋" w:eastAsia="仿宋_GB2312" w:cs="仿宋_GB2312"/>
                <w:color w:val="auto"/>
                <w:sz w:val="24"/>
                <w:szCs w:val="21"/>
                <w:highlight w:val="none"/>
              </w:rPr>
              <w:t xml:space="preserve"> 具备设备管理功能，统一管理的终端设备，支持终端设备和所在教室关联；</w:t>
            </w:r>
            <w:r>
              <w:rPr>
                <w:rFonts w:hint="eastAsia" w:ascii="仿宋_GB2312" w:hAnsi="仿宋" w:eastAsia="仿宋_GB2312" w:cs="仿宋_GB2312"/>
                <w:color w:val="auto"/>
                <w:sz w:val="24"/>
                <w:szCs w:val="21"/>
                <w:highlight w:val="none"/>
              </w:rPr>
              <w:t>支持</w:t>
            </w:r>
            <w:r>
              <w:rPr>
                <w:rFonts w:ascii="仿宋_GB2312" w:hAnsi="仿宋" w:eastAsia="仿宋_GB2312" w:cs="仿宋_GB2312"/>
                <w:color w:val="auto"/>
                <w:sz w:val="24"/>
                <w:szCs w:val="21"/>
                <w:highlight w:val="none"/>
              </w:rPr>
              <w:t>设置终端和摄像头的视频画面尺寸、视频帧率、视频压缩率</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（需提供功能截图加盖投标人公章）</w:t>
            </w:r>
          </w:p>
          <w:p w14:paraId="5637E14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支持不少于70个点位授权</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33745D49">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65DE5A3">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4C2F724">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30ABFCD6">
            <w:pPr>
              <w:tabs>
                <w:tab w:val="left" w:pos="0"/>
              </w:tabs>
              <w:spacing w:line="240" w:lineRule="exact"/>
              <w:jc w:val="center"/>
              <w:rPr>
                <w:rFonts w:ascii="仿宋_GB2312" w:hAnsi="仿宋" w:eastAsia="仿宋_GB2312" w:cs="仿宋_GB2312"/>
                <w:color w:val="auto"/>
                <w:kern w:val="0"/>
                <w:sz w:val="24"/>
                <w:szCs w:val="21"/>
                <w:highlight w:val="none"/>
              </w:rPr>
            </w:pPr>
          </w:p>
        </w:tc>
      </w:tr>
      <w:tr w14:paraId="27BE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181965BC">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品目3</w:t>
            </w:r>
          </w:p>
          <w:p w14:paraId="0720F56C">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产品名称：语音终端管理主机</w:t>
            </w:r>
          </w:p>
          <w:p w14:paraId="7B10A11C">
            <w:pPr>
              <w:pStyle w:val="21"/>
              <w:widowControl w:val="0"/>
              <w:adjustRightInd w:val="0"/>
              <w:snapToGrid w:val="0"/>
              <w:spacing w:before="0" w:beforeAutospacing="0" w:after="0" w:afterAutospacing="0"/>
              <w:jc w:val="both"/>
              <w:rPr>
                <w:rFonts w:hint="eastAsia"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1台</w:t>
            </w:r>
          </w:p>
          <w:p w14:paraId="184A2557">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460CEBDB">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152E1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4772A77">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492ECAF5">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58DAAA54">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4C0E804D">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2C161D55">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19C93F73">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2BF16A83">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602C1D0D">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07993435">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5FDAA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79203127">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kern w:val="2"/>
                <w:sz w:val="24"/>
                <w:szCs w:val="21"/>
                <w:highlight w:val="none"/>
                <w:lang w:val="en-US" w:eastAsia="zh-CN" w:bidi="ar-SA"/>
              </w:rPr>
              <w:t>1.</w:t>
            </w:r>
            <w:r>
              <w:rPr>
                <w:rFonts w:hint="eastAsia" w:ascii="仿宋_GB2312" w:hAnsi="仿宋" w:eastAsia="仿宋_GB2312" w:cs="仿宋_GB2312"/>
                <w:color w:val="auto"/>
                <w:sz w:val="24"/>
                <w:szCs w:val="21"/>
                <w:highlight w:val="none"/>
              </w:rPr>
              <w:t>支持增量存储技术</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多个桌面可共享同一个镜像，仅以快照形式保存差异化增量数据</w:t>
            </w:r>
            <w:r>
              <w:rPr>
                <w:rFonts w:hint="eastAsia" w:ascii="仿宋_GB2312" w:hAnsi="仿宋" w:eastAsia="仿宋_GB2312" w:cs="仿宋_GB2312"/>
                <w:color w:val="auto"/>
                <w:sz w:val="24"/>
                <w:szCs w:val="21"/>
                <w:highlight w:val="none"/>
                <w:lang w:eastAsia="zh-CN"/>
              </w:rPr>
              <w:t>；</w:t>
            </w:r>
          </w:p>
          <w:p w14:paraId="4A0A756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kern w:val="2"/>
                <w:sz w:val="24"/>
                <w:szCs w:val="21"/>
                <w:highlight w:val="none"/>
                <w:lang w:val="en-US" w:eastAsia="zh-CN" w:bidi="ar-SA"/>
              </w:rPr>
              <w:t>2.</w:t>
            </w:r>
            <w:r>
              <w:rPr>
                <w:rFonts w:hint="eastAsia" w:ascii="仿宋_GB2312" w:hAnsi="仿宋" w:eastAsia="仿宋_GB2312" w:cs="仿宋_GB2312"/>
                <w:color w:val="auto"/>
                <w:sz w:val="24"/>
                <w:szCs w:val="21"/>
                <w:highlight w:val="none"/>
              </w:rPr>
              <w:t>支持增量传输技术</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更新时，仅需分发增量数据，无需重新传输镜像和增加的数据</w:t>
            </w:r>
            <w:r>
              <w:rPr>
                <w:rFonts w:hint="eastAsia" w:ascii="仿宋_GB2312" w:hAnsi="仿宋" w:eastAsia="仿宋_GB2312" w:cs="仿宋_GB2312"/>
                <w:color w:val="auto"/>
                <w:sz w:val="24"/>
                <w:szCs w:val="21"/>
                <w:highlight w:val="none"/>
                <w:lang w:eastAsia="zh-CN"/>
              </w:rPr>
              <w:t>；</w:t>
            </w:r>
          </w:p>
          <w:p w14:paraId="255F9303">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处理器采用x86架构，不低于十核十二线程，睿频≥4.4GHz</w:t>
            </w:r>
            <w:r>
              <w:rPr>
                <w:rFonts w:hint="eastAsia" w:ascii="仿宋_GB2312" w:hAnsi="仿宋" w:eastAsia="仿宋_GB2312" w:cs="仿宋_GB2312"/>
                <w:color w:val="auto"/>
                <w:sz w:val="24"/>
                <w:szCs w:val="21"/>
                <w:highlight w:val="none"/>
                <w:lang w:eastAsia="zh-CN"/>
              </w:rPr>
              <w:t>；</w:t>
            </w:r>
          </w:p>
          <w:p w14:paraId="668A7A3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内存容量≥16GB（DDR4），采用固态硬盘+机械硬盘的混合式存储，固态硬盘容量≥1TB（M.2 NVME SSD），机械硬盘容量≥8TB（SATA3.0）</w:t>
            </w:r>
            <w:r>
              <w:rPr>
                <w:rFonts w:hint="eastAsia" w:ascii="仿宋_GB2312" w:hAnsi="仿宋" w:eastAsia="仿宋_GB2312" w:cs="仿宋_GB2312"/>
                <w:color w:val="auto"/>
                <w:sz w:val="24"/>
                <w:szCs w:val="21"/>
                <w:highlight w:val="none"/>
                <w:lang w:eastAsia="zh-CN"/>
              </w:rPr>
              <w:t>；</w:t>
            </w:r>
          </w:p>
          <w:p w14:paraId="74262A56">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万兆以太网接口≥2个，千兆以太网接口≥6个</w:t>
            </w:r>
            <w:r>
              <w:rPr>
                <w:rFonts w:hint="eastAsia" w:ascii="仿宋_GB2312" w:hAnsi="仿宋" w:eastAsia="仿宋_GB2312" w:cs="仿宋_GB2312"/>
                <w:color w:val="auto"/>
                <w:sz w:val="24"/>
                <w:szCs w:val="21"/>
                <w:highlight w:val="none"/>
                <w:lang w:eastAsia="zh-CN"/>
              </w:rPr>
              <w:t>；</w:t>
            </w:r>
          </w:p>
          <w:p w14:paraId="378D7489">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VGA≥1个；USB接口≥6个</w:t>
            </w:r>
            <w:r>
              <w:rPr>
                <w:rFonts w:hint="eastAsia" w:ascii="仿宋_GB2312" w:hAnsi="仿宋" w:eastAsia="仿宋_GB2312" w:cs="仿宋_GB2312"/>
                <w:color w:val="auto"/>
                <w:sz w:val="24"/>
                <w:szCs w:val="21"/>
                <w:highlight w:val="none"/>
                <w:lang w:eastAsia="zh-CN"/>
              </w:rPr>
              <w:t>；</w:t>
            </w:r>
          </w:p>
          <w:p w14:paraId="5C622A12">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机架式安装</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4FCF7ED0">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4E3ECEBF">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050E9C8D">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650234FA">
            <w:pPr>
              <w:tabs>
                <w:tab w:val="left" w:pos="0"/>
              </w:tabs>
              <w:spacing w:line="240" w:lineRule="exact"/>
              <w:jc w:val="center"/>
              <w:rPr>
                <w:rFonts w:ascii="仿宋_GB2312" w:hAnsi="仿宋" w:eastAsia="仿宋_GB2312" w:cs="仿宋_GB2312"/>
                <w:color w:val="auto"/>
                <w:kern w:val="0"/>
                <w:sz w:val="24"/>
                <w:szCs w:val="21"/>
                <w:highlight w:val="none"/>
              </w:rPr>
            </w:pPr>
          </w:p>
        </w:tc>
      </w:tr>
      <w:tr w14:paraId="08AB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0D89FCE0">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品目4</w:t>
            </w:r>
          </w:p>
          <w:p w14:paraId="0633E902">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产品名称：教师电脑</w:t>
            </w:r>
          </w:p>
          <w:p w14:paraId="3A15D964">
            <w:pPr>
              <w:pStyle w:val="21"/>
              <w:widowControl w:val="0"/>
              <w:adjustRightInd w:val="0"/>
              <w:snapToGrid w:val="0"/>
              <w:spacing w:before="0" w:beforeAutospacing="0" w:after="0" w:afterAutospacing="0"/>
              <w:jc w:val="both"/>
              <w:rPr>
                <w:rFonts w:hint="eastAsia"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1台</w:t>
            </w:r>
          </w:p>
          <w:p w14:paraId="2EBDE9E2">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1FA1C532">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38E69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D73E0BD">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4BAB793F">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544A50AE">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7988BF01">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411784C2">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11E2C29E">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59C2574A">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33DD9915">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539A4E5E">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0694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52F780B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1.处理器 主频≥2.50 GHz，不低于六核十二线程，最大睿频频率≥4.3GHz</w:t>
            </w:r>
            <w:r>
              <w:rPr>
                <w:rFonts w:hint="eastAsia" w:ascii="仿宋_GB2312" w:hAnsi="仿宋" w:eastAsia="仿宋_GB2312" w:cs="仿宋_GB2312"/>
                <w:color w:val="auto"/>
                <w:sz w:val="24"/>
                <w:szCs w:val="21"/>
                <w:highlight w:val="none"/>
                <w:lang w:eastAsia="zh-CN"/>
              </w:rPr>
              <w:t>；</w:t>
            </w:r>
          </w:p>
          <w:p w14:paraId="39AA399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2.内存≥16GB DDR4</w:t>
            </w:r>
            <w:r>
              <w:rPr>
                <w:rFonts w:hint="eastAsia" w:ascii="仿宋_GB2312" w:hAnsi="仿宋" w:eastAsia="仿宋_GB2312" w:cs="仿宋_GB2312"/>
                <w:color w:val="auto"/>
                <w:sz w:val="24"/>
                <w:szCs w:val="21"/>
                <w:highlight w:val="none"/>
                <w:lang w:eastAsia="zh-CN"/>
              </w:rPr>
              <w:t>；</w:t>
            </w:r>
          </w:p>
          <w:p w14:paraId="0E3A9A0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3.硬盘≥1TB</w:t>
            </w:r>
            <w:r>
              <w:rPr>
                <w:rFonts w:hint="eastAsia" w:ascii="仿宋_GB2312" w:hAnsi="仿宋" w:eastAsia="仿宋_GB2312" w:cs="仿宋_GB2312"/>
                <w:color w:val="auto"/>
                <w:sz w:val="24"/>
                <w:szCs w:val="21"/>
                <w:highlight w:val="none"/>
                <w:lang w:eastAsia="zh-CN"/>
              </w:rPr>
              <w:t>；</w:t>
            </w:r>
          </w:p>
          <w:p w14:paraId="7C9A70A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4.视频显示口≥2个</w:t>
            </w:r>
            <w:r>
              <w:rPr>
                <w:rFonts w:hint="eastAsia" w:ascii="仿宋_GB2312" w:hAnsi="仿宋" w:eastAsia="仿宋_GB2312" w:cs="仿宋_GB2312"/>
                <w:color w:val="auto"/>
                <w:sz w:val="24"/>
                <w:szCs w:val="21"/>
                <w:highlight w:val="none"/>
                <w:lang w:eastAsia="zh-CN"/>
              </w:rPr>
              <w:t>；</w:t>
            </w:r>
          </w:p>
          <w:p w14:paraId="7B89C2E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5.集成HD Audio声卡</w:t>
            </w:r>
            <w:r>
              <w:rPr>
                <w:rFonts w:hint="eastAsia" w:ascii="仿宋_GB2312" w:hAnsi="仿宋" w:eastAsia="仿宋_GB2312" w:cs="仿宋_GB2312"/>
                <w:color w:val="auto"/>
                <w:sz w:val="24"/>
                <w:szCs w:val="21"/>
                <w:highlight w:val="none"/>
                <w:lang w:eastAsia="zh-CN"/>
              </w:rPr>
              <w:t>；</w:t>
            </w:r>
          </w:p>
          <w:p w14:paraId="612CB93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6.集成千兆网卡</w:t>
            </w:r>
            <w:r>
              <w:rPr>
                <w:rFonts w:hint="eastAsia" w:ascii="仿宋_GB2312" w:hAnsi="仿宋" w:eastAsia="仿宋_GB2312" w:cs="仿宋_GB2312"/>
                <w:color w:val="auto"/>
                <w:sz w:val="24"/>
                <w:szCs w:val="21"/>
                <w:highlight w:val="none"/>
                <w:lang w:eastAsia="zh-CN"/>
              </w:rPr>
              <w:t>；</w:t>
            </w:r>
          </w:p>
          <w:p w14:paraId="796F1D1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7.显示器：2台，支持不低于，不低于23.8寸，分辨率不低于1920</w:t>
            </w:r>
            <w:r>
              <w:rPr>
                <w:rFonts w:hint="default" w:ascii="Arial" w:hAnsi="Arial" w:eastAsia="仿宋_GB2312" w:cs="Arial"/>
                <w:color w:val="auto"/>
                <w:sz w:val="24"/>
                <w:szCs w:val="21"/>
                <w:highlight w:val="none"/>
              </w:rPr>
              <w:t>×</w:t>
            </w:r>
            <w:r>
              <w:rPr>
                <w:rFonts w:hint="eastAsia" w:ascii="仿宋_GB2312" w:hAnsi="仿宋" w:eastAsia="仿宋_GB2312" w:cs="仿宋_GB2312"/>
                <w:color w:val="auto"/>
                <w:sz w:val="24"/>
                <w:szCs w:val="21"/>
                <w:highlight w:val="none"/>
              </w:rPr>
              <w:t>1080</w:t>
            </w:r>
            <w:r>
              <w:rPr>
                <w:rFonts w:hint="eastAsia" w:ascii="仿宋_GB2312" w:hAnsi="仿宋" w:eastAsia="仿宋_GB2312" w:cs="仿宋_GB2312"/>
                <w:color w:val="auto"/>
                <w:sz w:val="24"/>
                <w:szCs w:val="21"/>
                <w:highlight w:val="none"/>
                <w:lang w:eastAsia="zh-CN"/>
              </w:rPr>
              <w:t>；</w:t>
            </w:r>
          </w:p>
          <w:p w14:paraId="0CE95A0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8.USB键盘、USB鼠标</w:t>
            </w:r>
            <w:r>
              <w:rPr>
                <w:rFonts w:hint="eastAsia" w:ascii="仿宋_GB2312" w:hAnsi="仿宋" w:eastAsia="仿宋_GB2312" w:cs="仿宋_GB2312"/>
                <w:color w:val="auto"/>
                <w:sz w:val="24"/>
                <w:szCs w:val="21"/>
                <w:highlight w:val="none"/>
                <w:lang w:eastAsia="zh-CN"/>
              </w:rPr>
              <w:t>；</w:t>
            </w:r>
          </w:p>
          <w:p w14:paraId="294F063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9.配置光驱</w:t>
            </w:r>
            <w:r>
              <w:rPr>
                <w:rFonts w:hint="eastAsia" w:ascii="仿宋_GB2312" w:hAnsi="仿宋" w:eastAsia="仿宋_GB2312" w:cs="仿宋_GB2312"/>
                <w:color w:val="auto"/>
                <w:sz w:val="24"/>
                <w:szCs w:val="21"/>
                <w:highlight w:val="none"/>
                <w:lang w:eastAsia="zh-CN"/>
              </w:rPr>
              <w:t>；</w:t>
            </w:r>
          </w:p>
          <w:p w14:paraId="6CC0FEB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10.配套外置USB声卡；麦克风接口，16位44.1KHz；耳麦接口，16位44.1KHz，支持监听耳返，独立的音量控制旋钮；线性输入输出接口，可连接功放；内置2x2混音器，支持外部电源供电</w:t>
            </w:r>
            <w:r>
              <w:rPr>
                <w:rFonts w:hint="eastAsia" w:ascii="仿宋_GB2312" w:hAnsi="仿宋" w:eastAsia="仿宋_GB2312" w:cs="仿宋_GB2312"/>
                <w:color w:val="auto"/>
                <w:sz w:val="24"/>
                <w:szCs w:val="21"/>
                <w:highlight w:val="none"/>
                <w:lang w:eastAsia="zh-CN"/>
              </w:rPr>
              <w:t>；</w:t>
            </w:r>
          </w:p>
          <w:p w14:paraId="724F7AD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11.配套耳麦</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耳机频响范围：20Hz-20KHz；耳机灵敏度：118dB S.P.L.at 1KHz；耳机阻抗：16Ω；麦克频响范围：20Hz-20KHz；麦克灵敏度：-26dB；麦克阻抗：2.2kΩ</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支持3.5mm接口</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2F8A9B52">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4C5243E3">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290259B6">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2BD8D677">
            <w:pPr>
              <w:tabs>
                <w:tab w:val="left" w:pos="0"/>
              </w:tabs>
              <w:spacing w:line="240" w:lineRule="exact"/>
              <w:jc w:val="center"/>
              <w:rPr>
                <w:rFonts w:ascii="仿宋_GB2312" w:hAnsi="仿宋" w:eastAsia="仿宋_GB2312" w:cs="仿宋_GB2312"/>
                <w:color w:val="auto"/>
                <w:kern w:val="0"/>
                <w:sz w:val="24"/>
                <w:szCs w:val="21"/>
                <w:highlight w:val="none"/>
              </w:rPr>
            </w:pPr>
          </w:p>
        </w:tc>
      </w:tr>
      <w:tr w14:paraId="5CB1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4B5F84C8">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品目5</w:t>
            </w:r>
          </w:p>
          <w:p w14:paraId="3A91601E">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产品名称：学生语音终端</w:t>
            </w:r>
          </w:p>
          <w:p w14:paraId="66CA3862">
            <w:pPr>
              <w:pStyle w:val="21"/>
              <w:widowControl w:val="0"/>
              <w:adjustRightInd w:val="0"/>
              <w:snapToGrid w:val="0"/>
              <w:spacing w:before="0" w:beforeAutospacing="0" w:after="0" w:afterAutospacing="0"/>
              <w:jc w:val="both"/>
              <w:rPr>
                <w:rFonts w:hint="eastAsia"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70台</w:t>
            </w:r>
          </w:p>
          <w:p w14:paraId="557F7899">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7F6A6F51">
            <w:pPr>
              <w:tabs>
                <w:tab w:val="left" w:pos="0"/>
              </w:tabs>
              <w:adjustRightInd w:val="0"/>
              <w:snapToGrid w:val="0"/>
              <w:rPr>
                <w:rFonts w:hint="eastAsia" w:ascii="仿宋_GB2312" w:hAnsi="仿宋" w:eastAsia="仿宋_GB2312" w:cs="仿宋_GB2312"/>
                <w:color w:val="auto"/>
                <w:kern w:val="0"/>
                <w:sz w:val="24"/>
                <w:szCs w:val="21"/>
                <w:highlight w:val="none"/>
                <w:lang w:val="en-US" w:eastAsia="zh-CN"/>
              </w:rPr>
            </w:pPr>
            <w:r>
              <w:rPr>
                <w:rFonts w:hint="eastAsia" w:ascii="仿宋_GB2312" w:hAnsi="仿宋" w:eastAsia="仿宋_GB2312" w:cs="仿宋_GB2312"/>
                <w:b/>
                <w:bCs/>
                <w:color w:val="auto"/>
                <w:sz w:val="24"/>
                <w:szCs w:val="21"/>
                <w:highlight w:val="none"/>
              </w:rPr>
              <w:t>是否为核心产品（非单一产品采购项目时适用）：</w:t>
            </w:r>
            <w:r>
              <w:rPr>
                <w:rFonts w:hint="eastAsia" w:ascii="仿宋_GB2312" w:hAnsi="仿宋" w:eastAsia="仿宋_GB2312" w:cs="仿宋_GB2312"/>
                <w:b/>
                <w:bCs/>
                <w:color w:val="auto"/>
                <w:sz w:val="24"/>
                <w:szCs w:val="21"/>
                <w:highlight w:val="none"/>
                <w:lang w:val="en-US" w:eastAsia="zh-CN"/>
              </w:rPr>
              <w:t>是</w:t>
            </w:r>
          </w:p>
        </w:tc>
      </w:tr>
      <w:tr w14:paraId="529F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AE079FA">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47C42C3F">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62F25203">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241FAE71">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446B7FEF">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29A8A0D6">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7E1EF26B">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2246664D">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5E892876">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6354C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107674C2">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处理器采用x86架构，不低于六核十二线程，最大睿频频率≥4.3GHz，缓存≥18MB，最大睿频功耗≥117W；</w:t>
            </w:r>
          </w:p>
          <w:p w14:paraId="3E26AB8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内存容量≥8GB，硬盘容量≥256GB（SSD）</w:t>
            </w:r>
            <w:r>
              <w:rPr>
                <w:rFonts w:hint="eastAsia" w:ascii="仿宋_GB2312" w:hAnsi="仿宋" w:eastAsia="仿宋_GB2312" w:cs="仿宋_GB2312"/>
                <w:color w:val="auto"/>
                <w:sz w:val="24"/>
                <w:szCs w:val="21"/>
                <w:highlight w:val="none"/>
                <w:lang w:eastAsia="zh-CN"/>
              </w:rPr>
              <w:t>；</w:t>
            </w:r>
          </w:p>
          <w:p w14:paraId="0ADDE7D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HDMI≥1个，DP≥1个</w:t>
            </w:r>
            <w:r>
              <w:rPr>
                <w:rFonts w:hint="eastAsia" w:ascii="仿宋_GB2312" w:hAnsi="仿宋" w:eastAsia="仿宋_GB2312" w:cs="仿宋_GB2312"/>
                <w:color w:val="auto"/>
                <w:sz w:val="24"/>
                <w:szCs w:val="21"/>
                <w:highlight w:val="none"/>
                <w:lang w:eastAsia="zh-CN"/>
              </w:rPr>
              <w:t>；</w:t>
            </w:r>
          </w:p>
          <w:p w14:paraId="2A1C44F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提供3.5mm音频接口≥2个，数字耳麦接口≥1个</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 xml:space="preserve"> </w:t>
            </w:r>
          </w:p>
          <w:p w14:paraId="684C45E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USB接口≥7个（USB Type-C接口≥2个）</w:t>
            </w:r>
            <w:r>
              <w:rPr>
                <w:rFonts w:hint="eastAsia" w:ascii="仿宋_GB2312" w:hAnsi="仿宋" w:eastAsia="仿宋_GB2312" w:cs="仿宋_GB2312"/>
                <w:color w:val="auto"/>
                <w:sz w:val="24"/>
                <w:szCs w:val="21"/>
                <w:highlight w:val="none"/>
                <w:lang w:eastAsia="zh-CN"/>
              </w:rPr>
              <w:t>；</w:t>
            </w:r>
          </w:p>
          <w:p w14:paraId="52E90F3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千兆网络接口≥1个</w:t>
            </w:r>
            <w:r>
              <w:rPr>
                <w:rFonts w:hint="eastAsia" w:ascii="仿宋_GB2312" w:hAnsi="仿宋" w:eastAsia="仿宋_GB2312" w:cs="仿宋_GB2312"/>
                <w:color w:val="auto"/>
                <w:sz w:val="24"/>
                <w:szCs w:val="21"/>
                <w:highlight w:val="none"/>
                <w:lang w:eastAsia="zh-CN"/>
              </w:rPr>
              <w:t>；</w:t>
            </w:r>
          </w:p>
          <w:p w14:paraId="0F9264B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信噪比≥70dB</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 xml:space="preserve"> </w:t>
            </w:r>
          </w:p>
          <w:p w14:paraId="2C900D2A">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default" w:ascii="仿宋_GB2312" w:hAnsi="仿宋" w:eastAsia="仿宋_GB2312" w:cs="仿宋_GB2312"/>
                <w:b/>
                <w:bCs/>
                <w:color w:val="auto"/>
                <w:sz w:val="24"/>
                <w:szCs w:val="21"/>
                <w:highlight w:val="none"/>
                <w:lang w:val="en-US" w:eastAsia="zh-CN"/>
              </w:rPr>
            </w:pPr>
            <w:r>
              <w:rPr>
                <w:rFonts w:hint="eastAsia" w:ascii="仿宋_GB2312" w:hAnsi="仿宋" w:eastAsia="仿宋_GB2312" w:cs="仿宋_GB2312"/>
                <w:color w:val="auto"/>
                <w:sz w:val="24"/>
                <w:szCs w:val="21"/>
                <w:highlight w:val="none"/>
              </w:rPr>
              <w:t>▲8</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噪声≤32dB</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需提供国家认可的第三方检测机构出具的检测报告复印件加盖投标人公章</w:t>
            </w:r>
            <w:r>
              <w:rPr>
                <w:rFonts w:hint="eastAsia" w:ascii="仿宋_GB2312" w:hAnsi="仿宋" w:eastAsia="仿宋_GB2312" w:cs="仿宋_GB2312"/>
                <w:b/>
                <w:bCs/>
                <w:color w:val="auto"/>
                <w:sz w:val="24"/>
                <w:szCs w:val="21"/>
                <w:highlight w:val="none"/>
                <w:lang w:eastAsia="zh-CN"/>
              </w:rPr>
              <w:t>）</w:t>
            </w:r>
          </w:p>
          <w:p w14:paraId="1282F30C">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b/>
                <w:bCs/>
                <w:color w:val="auto"/>
                <w:sz w:val="24"/>
                <w:szCs w:val="21"/>
                <w:highlight w:val="none"/>
                <w:lang w:eastAsia="zh-CN"/>
              </w:rPr>
            </w:pPr>
            <w:r>
              <w:rPr>
                <w:rFonts w:hint="eastAsia" w:ascii="仿宋_GB2312" w:hAnsi="仿宋" w:eastAsia="仿宋_GB2312" w:cs="仿宋_GB2312"/>
                <w:color w:val="auto"/>
                <w:sz w:val="24"/>
                <w:szCs w:val="21"/>
                <w:highlight w:val="none"/>
              </w:rPr>
              <w:t>▲9</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提供电源保护模块，恶劣供电环境下，不会对终端造成损坏</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（需提供国家认可的第三方检测机构出具的检测报告复印件加盖投标人公章）</w:t>
            </w:r>
          </w:p>
          <w:p w14:paraId="60119193">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b/>
                <w:bCs/>
                <w:color w:val="auto"/>
                <w:sz w:val="24"/>
                <w:szCs w:val="21"/>
                <w:highlight w:val="none"/>
              </w:rPr>
            </w:pPr>
            <w:r>
              <w:rPr>
                <w:rFonts w:hint="eastAsia" w:ascii="仿宋_GB2312" w:hAnsi="仿宋" w:eastAsia="仿宋_GB2312" w:cs="仿宋_GB2312"/>
                <w:color w:val="auto"/>
                <w:sz w:val="24"/>
                <w:szCs w:val="21"/>
                <w:highlight w:val="none"/>
              </w:rPr>
              <w:t>▲10</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满足5x24小时连续无故障运行</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（需提供国家认可的第三方检测机构出具的检测报告复印件加盖投标人公章）</w:t>
            </w:r>
          </w:p>
          <w:p w14:paraId="34B273A5">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★11.整机无风扇，金属外壳，整机体机≤3升，具备防盗设计壁挂架，支持壁挂安装在显示器背面</w:t>
            </w:r>
            <w:r>
              <w:rPr>
                <w:rFonts w:hint="eastAsia" w:ascii="仿宋_GB2312" w:hAnsi="仿宋" w:eastAsia="仿宋_GB2312" w:cs="仿宋_GB2312"/>
                <w:color w:val="auto"/>
                <w:sz w:val="24"/>
                <w:szCs w:val="21"/>
                <w:highlight w:val="none"/>
                <w:lang w:eastAsia="zh-CN"/>
              </w:rPr>
              <w:t>；</w:t>
            </w:r>
          </w:p>
          <w:p w14:paraId="3A0F739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集成基本输入输出系统软件：图形化界面，能够显示芯片运行过程中的温度变化情况</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电源管理模块，可设置通电自启</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可查询内存、硬盘、网卡、芯片和USB接口信息</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提供国家版权局出具的软件著作权证书复印件</w:t>
            </w:r>
            <w:r>
              <w:rPr>
                <w:rFonts w:hint="eastAsia" w:ascii="仿宋_GB2312" w:hAnsi="仿宋" w:eastAsia="仿宋_GB2312" w:cs="仿宋_GB2312"/>
                <w:color w:val="auto"/>
                <w:sz w:val="24"/>
                <w:szCs w:val="21"/>
                <w:highlight w:val="none"/>
                <w:lang w:eastAsia="zh-CN"/>
              </w:rPr>
              <w:t>；</w:t>
            </w:r>
          </w:p>
          <w:p w14:paraId="0AED6EF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配套耳麦</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耳机频响范围：20Hz-20KHz；耳机灵敏度：118dB S.P.L.at 1KHz；耳机阻抗：16Ω；麦克频响范围：20Hz-20KHz；麦克灵敏度：-26dB；麦克阻抗：2.2kΩ</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支持数字耳麦接口</w:t>
            </w:r>
            <w:r>
              <w:rPr>
                <w:rFonts w:hint="eastAsia" w:ascii="仿宋_GB2312" w:hAnsi="仿宋" w:eastAsia="仿宋_GB2312" w:cs="仿宋_GB2312"/>
                <w:color w:val="auto"/>
                <w:sz w:val="24"/>
                <w:szCs w:val="21"/>
                <w:highlight w:val="none"/>
                <w:lang w:eastAsia="zh-CN"/>
              </w:rPr>
              <w:t>；</w:t>
            </w:r>
          </w:p>
          <w:p w14:paraId="60FD59E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集成语音终端管理软件功能如下：</w:t>
            </w:r>
          </w:p>
          <w:p w14:paraId="19A84FB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14.1采用WEB管理界面管理方式，可以查看终端开机数量、故障终端数、终端机器名、MAC地址、IP地址、硬盘存储空间和当前使用镜像等数据</w:t>
            </w:r>
            <w:r>
              <w:rPr>
                <w:rFonts w:hint="eastAsia" w:ascii="仿宋_GB2312" w:hAnsi="仿宋" w:eastAsia="仿宋_GB2312" w:cs="仿宋_GB2312"/>
                <w:color w:val="auto"/>
                <w:sz w:val="24"/>
                <w:szCs w:val="21"/>
                <w:highlight w:val="none"/>
                <w:lang w:eastAsia="zh-CN"/>
              </w:rPr>
              <w:t>；</w:t>
            </w:r>
          </w:p>
          <w:p w14:paraId="390531E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14.2支持对学生语音终端进行统一远程开机、关机、重启、外网访问控制、修改终端信息和标记故障终端等操作</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支持学生语音终端的系统安装、补丁升级、软件更新、环境设置</w:t>
            </w:r>
            <w:r>
              <w:rPr>
                <w:rFonts w:hint="eastAsia" w:ascii="仿宋_GB2312" w:hAnsi="仿宋" w:eastAsia="仿宋_GB2312" w:cs="仿宋_GB2312"/>
                <w:color w:val="auto"/>
                <w:sz w:val="24"/>
                <w:szCs w:val="21"/>
                <w:highlight w:val="none"/>
                <w:lang w:eastAsia="zh-CN"/>
              </w:rPr>
              <w:t>；</w:t>
            </w:r>
          </w:p>
          <w:p w14:paraId="0F68E36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14.3支持终端独立运作，在服务器和网络发生故障时保证桌面不会中断工作，确保教学活动的正常进行，即关服务器也能上课，服务器出现故障不影响终端正常使用</w:t>
            </w:r>
            <w:r>
              <w:rPr>
                <w:rFonts w:hint="eastAsia" w:ascii="仿宋_GB2312" w:hAnsi="仿宋" w:eastAsia="仿宋_GB2312" w:cs="仿宋_GB2312"/>
                <w:color w:val="auto"/>
                <w:sz w:val="24"/>
                <w:szCs w:val="21"/>
                <w:highlight w:val="none"/>
                <w:lang w:eastAsia="zh-CN"/>
              </w:rPr>
              <w:t>；</w:t>
            </w:r>
          </w:p>
          <w:p w14:paraId="6DB3806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14</w:t>
            </w: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4支持增量存储技术</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多个桌面可共享操作系统镜像，仅以快照形式保存差异化增量数据，支持桌面快速合并</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支持增量传输技术</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系统更新仅需分发增量数据，无需重新传输完整系统</w:t>
            </w:r>
            <w:r>
              <w:rPr>
                <w:rFonts w:hint="eastAsia" w:ascii="仿宋_GB2312" w:hAnsi="仿宋" w:eastAsia="仿宋_GB2312" w:cs="仿宋_GB2312"/>
                <w:color w:val="auto"/>
                <w:sz w:val="24"/>
                <w:szCs w:val="21"/>
                <w:highlight w:val="none"/>
                <w:lang w:eastAsia="zh-CN"/>
              </w:rPr>
              <w:t>；</w:t>
            </w:r>
          </w:p>
          <w:p w14:paraId="771515F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rPr>
              <w:t>.5支持自动还原，学生语音终端只需要重启便能够恢复到初始的可靠状态，对于有多个镜像的管理员可以自己选择需要还原的镜像</w:t>
            </w:r>
            <w:r>
              <w:rPr>
                <w:rFonts w:hint="eastAsia" w:ascii="仿宋_GB2312" w:hAnsi="仿宋" w:eastAsia="仿宋_GB2312" w:cs="仿宋_GB2312"/>
                <w:color w:val="auto"/>
                <w:sz w:val="24"/>
                <w:szCs w:val="21"/>
                <w:highlight w:val="none"/>
                <w:lang w:eastAsia="zh-CN"/>
              </w:rPr>
              <w:t>；</w:t>
            </w:r>
          </w:p>
          <w:p w14:paraId="4D1B3F0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rPr>
              <w:t>支持USB管理，可以对移动存储设备、软驱、打印机等接入设备控制，禁用移动存储设备时不影响USB接口鼠标键盘打印机的使用</w:t>
            </w:r>
            <w:r>
              <w:rPr>
                <w:rFonts w:hint="eastAsia" w:ascii="仿宋_GB2312" w:hAnsi="仿宋" w:eastAsia="仿宋_GB2312" w:cs="仿宋_GB2312"/>
                <w:color w:val="auto"/>
                <w:sz w:val="24"/>
                <w:szCs w:val="21"/>
                <w:highlight w:val="none"/>
                <w:lang w:eastAsia="zh-CN"/>
              </w:rPr>
              <w:t>；</w:t>
            </w:r>
          </w:p>
          <w:p w14:paraId="396D9C3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rPr>
              <w:t>为了提高传输效率，系统需支持多网卡分布式传输技术，管理员可以自行划分每块网卡所负责部署的终端</w:t>
            </w:r>
            <w:r>
              <w:rPr>
                <w:rFonts w:hint="eastAsia" w:ascii="仿宋_GB2312" w:hAnsi="仿宋" w:eastAsia="仿宋_GB2312" w:cs="仿宋_GB2312"/>
                <w:color w:val="auto"/>
                <w:sz w:val="24"/>
                <w:szCs w:val="21"/>
                <w:highlight w:val="none"/>
                <w:lang w:eastAsia="zh-CN"/>
              </w:rPr>
              <w:t>；</w:t>
            </w:r>
          </w:p>
          <w:p w14:paraId="71D4164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8</w:t>
            </w:r>
            <w:r>
              <w:rPr>
                <w:rFonts w:hint="eastAsia" w:ascii="仿宋_GB2312" w:hAnsi="仿宋" w:eastAsia="仿宋_GB2312" w:cs="仿宋_GB2312"/>
                <w:color w:val="auto"/>
                <w:sz w:val="24"/>
                <w:szCs w:val="21"/>
                <w:highlight w:val="none"/>
              </w:rPr>
              <w:t>支持部署多种教学云桌面，如教学桌面、大学英语四六级考试桌面、计算机考试桌面等</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支持管理员统一选择桌面，也支持学生自行选择桌面</w:t>
            </w:r>
            <w:r>
              <w:rPr>
                <w:rFonts w:hint="eastAsia" w:ascii="仿宋_GB2312" w:hAnsi="仿宋" w:eastAsia="仿宋_GB2312" w:cs="仿宋_GB2312"/>
                <w:color w:val="auto"/>
                <w:sz w:val="24"/>
                <w:szCs w:val="21"/>
                <w:highlight w:val="none"/>
                <w:lang w:eastAsia="zh-CN"/>
              </w:rPr>
              <w:t>；</w:t>
            </w:r>
          </w:p>
          <w:p w14:paraId="398812E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rPr>
              <w:t>.</w:t>
            </w:r>
            <w:r>
              <w:rPr>
                <w:rFonts w:ascii="仿宋_GB2312" w:hAnsi="仿宋" w:eastAsia="仿宋_GB2312" w:cs="仿宋_GB2312"/>
                <w:color w:val="auto"/>
                <w:sz w:val="24"/>
                <w:szCs w:val="21"/>
                <w:highlight w:val="none"/>
              </w:rPr>
              <w:t>9</w:t>
            </w:r>
            <w:r>
              <w:rPr>
                <w:rFonts w:hint="eastAsia" w:ascii="仿宋_GB2312" w:hAnsi="仿宋" w:eastAsia="仿宋_GB2312" w:cs="仿宋_GB2312"/>
                <w:color w:val="auto"/>
                <w:sz w:val="24"/>
                <w:szCs w:val="21"/>
                <w:highlight w:val="none"/>
              </w:rPr>
              <w:t>提供国家版权局出具的软件著作权证书复印件</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75B245FA">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2DACC3D3">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0A69236">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564DD5BC">
            <w:pPr>
              <w:tabs>
                <w:tab w:val="left" w:pos="0"/>
              </w:tabs>
              <w:spacing w:line="240" w:lineRule="exact"/>
              <w:jc w:val="center"/>
              <w:rPr>
                <w:rFonts w:ascii="仿宋_GB2312" w:hAnsi="仿宋" w:eastAsia="仿宋_GB2312" w:cs="仿宋_GB2312"/>
                <w:color w:val="auto"/>
                <w:kern w:val="0"/>
                <w:sz w:val="24"/>
                <w:szCs w:val="21"/>
                <w:highlight w:val="none"/>
              </w:rPr>
            </w:pPr>
          </w:p>
        </w:tc>
      </w:tr>
      <w:tr w14:paraId="673D0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45313B0E">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品目6</w:t>
            </w:r>
          </w:p>
          <w:p w14:paraId="7F1A6C0C">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产品名称：学生备用终端</w:t>
            </w:r>
          </w:p>
          <w:p w14:paraId="451EC521">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8台</w:t>
            </w:r>
          </w:p>
          <w:p w14:paraId="171664A2">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4DC35D41">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249D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A5F585F">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6C836D0A">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37A2B204">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3C639AE5">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681FE013">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13EB787A">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7D37708B">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1CA2C3F1">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287B17FE">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5710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4699D7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处理器采用x86架构，不低于四核四线程，基础频率不低于1.6GHz，采用14纳米制程，功耗不得高于6W</w:t>
            </w:r>
            <w:r>
              <w:rPr>
                <w:rFonts w:hint="eastAsia" w:ascii="仿宋_GB2312" w:hAnsi="仿宋" w:eastAsia="仿宋_GB2312" w:cs="仿宋_GB2312"/>
                <w:color w:val="auto"/>
                <w:sz w:val="24"/>
                <w:szCs w:val="21"/>
                <w:highlight w:val="none"/>
                <w:lang w:eastAsia="zh-CN"/>
              </w:rPr>
              <w:t>；</w:t>
            </w:r>
          </w:p>
          <w:p w14:paraId="7CC2CA7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内存容量不低于4GB，硬盘容量不低于64GB（SSD）</w:t>
            </w:r>
            <w:r>
              <w:rPr>
                <w:rFonts w:hint="eastAsia" w:ascii="仿宋_GB2312" w:hAnsi="仿宋" w:eastAsia="仿宋_GB2312" w:cs="仿宋_GB2312"/>
                <w:color w:val="auto"/>
                <w:sz w:val="24"/>
                <w:szCs w:val="21"/>
                <w:highlight w:val="none"/>
                <w:lang w:eastAsia="zh-CN"/>
              </w:rPr>
              <w:t>；</w:t>
            </w:r>
          </w:p>
          <w:p w14:paraId="5933132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VGA≥1个、HDMI≥1个，千兆网卡≥1个</w:t>
            </w:r>
            <w:r>
              <w:rPr>
                <w:rFonts w:hint="eastAsia" w:ascii="仿宋_GB2312" w:hAnsi="仿宋" w:eastAsia="仿宋_GB2312" w:cs="仿宋_GB2312"/>
                <w:color w:val="auto"/>
                <w:sz w:val="24"/>
                <w:szCs w:val="21"/>
                <w:highlight w:val="none"/>
                <w:lang w:eastAsia="zh-CN"/>
              </w:rPr>
              <w:t>；</w:t>
            </w:r>
          </w:p>
          <w:p w14:paraId="00495E8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声卡信噪比≥70dB</w:t>
            </w:r>
            <w:r>
              <w:rPr>
                <w:rFonts w:hint="eastAsia" w:ascii="仿宋_GB2312" w:hAnsi="仿宋" w:eastAsia="仿宋_GB2312" w:cs="仿宋_GB2312"/>
                <w:color w:val="auto"/>
                <w:sz w:val="24"/>
                <w:szCs w:val="21"/>
                <w:highlight w:val="none"/>
                <w:lang w:eastAsia="zh-CN"/>
              </w:rPr>
              <w:t>；</w:t>
            </w:r>
          </w:p>
          <w:p w14:paraId="6F04318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USB接口≥5个，其中USB3.0接口≥3个</w:t>
            </w:r>
            <w:r>
              <w:rPr>
                <w:rFonts w:hint="eastAsia" w:ascii="仿宋_GB2312" w:hAnsi="仿宋" w:eastAsia="仿宋_GB2312" w:cs="仿宋_GB2312"/>
                <w:color w:val="auto"/>
                <w:sz w:val="24"/>
                <w:szCs w:val="21"/>
                <w:highlight w:val="none"/>
                <w:lang w:eastAsia="zh-CN"/>
              </w:rPr>
              <w:t>；</w:t>
            </w:r>
          </w:p>
          <w:p w14:paraId="4A62B03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整机无风扇，保留现场拆机确认的权利</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整机噪音≤30dB</w:t>
            </w:r>
            <w:r>
              <w:rPr>
                <w:rFonts w:hint="eastAsia" w:ascii="仿宋_GB2312" w:hAnsi="仿宋" w:eastAsia="仿宋_GB2312" w:cs="仿宋_GB2312"/>
                <w:color w:val="auto"/>
                <w:sz w:val="24"/>
                <w:szCs w:val="21"/>
                <w:highlight w:val="none"/>
                <w:lang w:eastAsia="zh-CN"/>
              </w:rPr>
              <w:t>；</w:t>
            </w:r>
          </w:p>
          <w:p w14:paraId="7B31BBA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能够和教室原教学软件无缝对接，在同一个终端软件界面下实现集中管理，包括终端的系统安装、补丁升级、软件更新、环境设置、新机器部署，故障恢复</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再一个数字语言实验室软件界面下实现课堂教学，支持媒体广播、屏幕广播、多频道教学、学生发言、语音对讲、分组讨论、主题讨论、影音跟读等功能</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719A9A03">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2C19116">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7D336015">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76ADC4A2">
            <w:pPr>
              <w:tabs>
                <w:tab w:val="left" w:pos="0"/>
              </w:tabs>
              <w:spacing w:line="240" w:lineRule="exact"/>
              <w:jc w:val="center"/>
              <w:rPr>
                <w:rFonts w:ascii="仿宋_GB2312" w:hAnsi="仿宋" w:eastAsia="仿宋_GB2312" w:cs="仿宋_GB2312"/>
                <w:color w:val="auto"/>
                <w:kern w:val="0"/>
                <w:sz w:val="24"/>
                <w:szCs w:val="21"/>
                <w:highlight w:val="none"/>
              </w:rPr>
            </w:pPr>
          </w:p>
        </w:tc>
      </w:tr>
      <w:tr w14:paraId="6D01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3E4D3FE9">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品目7</w:t>
            </w:r>
          </w:p>
          <w:p w14:paraId="11FBB0E2">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产品名称：学生显示器</w:t>
            </w:r>
          </w:p>
          <w:p w14:paraId="334CBCF8">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70台</w:t>
            </w:r>
          </w:p>
          <w:p w14:paraId="5100093D">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5077F34F">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51B5D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54DD8BCE">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786C5369">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34B7AC8F">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67A61C79">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2A673BD2">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1043FC21">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3FFFF5F3">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6083E09D">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778BE481">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06061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6DFD1E3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不低于21.5英寸LED液晶显示</w:t>
            </w:r>
            <w:r>
              <w:rPr>
                <w:rFonts w:hint="eastAsia" w:ascii="仿宋_GB2312" w:hAnsi="仿宋" w:eastAsia="仿宋_GB2312" w:cs="仿宋_GB2312"/>
                <w:color w:val="auto"/>
                <w:sz w:val="24"/>
                <w:szCs w:val="21"/>
                <w:highlight w:val="none"/>
                <w:lang w:eastAsia="zh-CN"/>
              </w:rPr>
              <w:t>；</w:t>
            </w:r>
          </w:p>
          <w:p w14:paraId="29000F3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分辨率：不低于1920</w:t>
            </w:r>
            <w:r>
              <w:rPr>
                <w:rFonts w:hint="default"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1080，16:9全高清</w:t>
            </w:r>
            <w:r>
              <w:rPr>
                <w:rFonts w:hint="eastAsia" w:ascii="仿宋_GB2312" w:hAnsi="仿宋" w:eastAsia="仿宋_GB2312" w:cs="仿宋_GB2312"/>
                <w:color w:val="auto"/>
                <w:sz w:val="24"/>
                <w:szCs w:val="21"/>
                <w:highlight w:val="none"/>
                <w:lang w:eastAsia="zh-CN"/>
              </w:rPr>
              <w:t>；</w:t>
            </w:r>
          </w:p>
          <w:p w14:paraId="05668E0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刷新率：不低于60赫兹</w:t>
            </w:r>
            <w:r>
              <w:rPr>
                <w:rFonts w:hint="eastAsia" w:ascii="仿宋_GB2312" w:hAnsi="仿宋" w:eastAsia="仿宋_GB2312" w:cs="仿宋_GB2312"/>
                <w:color w:val="auto"/>
                <w:sz w:val="24"/>
                <w:szCs w:val="21"/>
                <w:highlight w:val="none"/>
                <w:lang w:eastAsia="zh-CN"/>
              </w:rPr>
              <w:t>；</w:t>
            </w:r>
          </w:p>
          <w:p w14:paraId="7A60B83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响应时间：不大5毫秒</w:t>
            </w:r>
            <w:r>
              <w:rPr>
                <w:rFonts w:hint="eastAsia" w:ascii="仿宋_GB2312" w:hAnsi="仿宋" w:eastAsia="仿宋_GB2312" w:cs="仿宋_GB2312"/>
                <w:color w:val="auto"/>
                <w:sz w:val="24"/>
                <w:szCs w:val="21"/>
                <w:highlight w:val="none"/>
                <w:lang w:eastAsia="zh-CN"/>
              </w:rPr>
              <w:t>；</w:t>
            </w:r>
          </w:p>
          <w:p w14:paraId="0F11D2B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接口：HDMI≥1个，VGA≥1</w:t>
            </w:r>
            <w:r>
              <w:rPr>
                <w:rFonts w:hint="eastAsia" w:ascii="仿宋_GB2312" w:hAnsi="仿宋" w:eastAsia="仿宋_GB2312" w:cs="仿宋_GB2312"/>
                <w:color w:val="auto"/>
                <w:sz w:val="24"/>
                <w:szCs w:val="21"/>
                <w:highlight w:val="none"/>
                <w:lang w:eastAsia="zh-CN"/>
              </w:rPr>
              <w:t>；</w:t>
            </w:r>
          </w:p>
          <w:p w14:paraId="29D5487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内置电源</w:t>
            </w:r>
            <w:r>
              <w:rPr>
                <w:rFonts w:hint="eastAsia" w:ascii="仿宋_GB2312" w:hAnsi="仿宋" w:eastAsia="仿宋_GB2312" w:cs="仿宋_GB2312"/>
                <w:color w:val="auto"/>
                <w:sz w:val="24"/>
                <w:szCs w:val="21"/>
                <w:highlight w:val="none"/>
                <w:lang w:eastAsia="zh-CN"/>
              </w:rPr>
              <w:t>；</w:t>
            </w:r>
          </w:p>
          <w:p w14:paraId="5785806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竖插，支持VESA标准，可安装显示器背挂架；电源接口和VGA接口朝向下</w:t>
            </w:r>
            <w:r>
              <w:rPr>
                <w:rFonts w:hint="eastAsia" w:ascii="仿宋_GB2312" w:hAnsi="仿宋" w:eastAsia="仿宋_GB2312" w:cs="仿宋_GB2312"/>
                <w:color w:val="auto"/>
                <w:sz w:val="24"/>
                <w:szCs w:val="21"/>
                <w:highlight w:val="none"/>
                <w:lang w:eastAsia="zh-CN"/>
              </w:rPr>
              <w:t>；</w:t>
            </w:r>
          </w:p>
          <w:p w14:paraId="0CE7370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8</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配套 有线USB键盘、有线USB光电鼠标；导线长度不小于1.2米</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1466E5E0">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2D1DC8E4">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78AEF08A">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7F46ACB7">
            <w:pPr>
              <w:tabs>
                <w:tab w:val="left" w:pos="0"/>
              </w:tabs>
              <w:spacing w:line="240" w:lineRule="exact"/>
              <w:jc w:val="center"/>
              <w:rPr>
                <w:rFonts w:ascii="仿宋_GB2312" w:hAnsi="仿宋" w:eastAsia="仿宋_GB2312" w:cs="仿宋_GB2312"/>
                <w:color w:val="auto"/>
                <w:kern w:val="0"/>
                <w:sz w:val="24"/>
                <w:szCs w:val="21"/>
                <w:highlight w:val="none"/>
              </w:rPr>
            </w:pPr>
          </w:p>
        </w:tc>
      </w:tr>
      <w:tr w14:paraId="2C2CD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72CC79C0">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品目8</w:t>
            </w:r>
          </w:p>
          <w:p w14:paraId="30F3D0F8">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产品名称：功放</w:t>
            </w:r>
          </w:p>
          <w:p w14:paraId="3FF1B232">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1组</w:t>
            </w:r>
          </w:p>
          <w:p w14:paraId="0388EAC3">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451A77A9">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422E1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33F3F85C">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646B730E">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2D7D96DC">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213A32FC">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31FEFC12">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0006A23C">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5FDCAC57">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334563B0">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3DDEE6E2">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29137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2DACAC0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带U盘播放（优先播放，格式MP3）和蓝牙播放，带LCD液晶显示屏，四路音源切换按键（带记忆功能），对线路1/线路2/线路3/（蓝牙/U盘）进行切换</w:t>
            </w:r>
            <w:r>
              <w:rPr>
                <w:rFonts w:hint="eastAsia" w:ascii="仿宋_GB2312" w:hAnsi="仿宋" w:eastAsia="仿宋_GB2312" w:cs="仿宋_GB2312"/>
                <w:color w:val="auto"/>
                <w:sz w:val="24"/>
                <w:szCs w:val="21"/>
                <w:highlight w:val="none"/>
                <w:lang w:eastAsia="zh-CN"/>
              </w:rPr>
              <w:t>；</w:t>
            </w:r>
          </w:p>
          <w:p w14:paraId="63CCD84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带2路有线话筒输入（6.35话筒口，+48V幻像电源可切换）、2路无线话筒输入（1路3.5三芯+1路USB，USB可用于2.4G无线话筒供电）、2组立体声线路输入（RCA*4莲花接口）、1路线路平衡输入（凤凰接口）</w:t>
            </w:r>
            <w:r>
              <w:rPr>
                <w:rFonts w:hint="eastAsia" w:ascii="仿宋_GB2312" w:hAnsi="仿宋" w:eastAsia="仿宋_GB2312" w:cs="仿宋_GB2312"/>
                <w:color w:val="auto"/>
                <w:sz w:val="24"/>
                <w:szCs w:val="21"/>
                <w:highlight w:val="none"/>
                <w:lang w:eastAsia="zh-CN"/>
              </w:rPr>
              <w:t>；</w:t>
            </w:r>
          </w:p>
          <w:p w14:paraId="03FA2F2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带2组立体声线路输出（RCA*4莲花接口）、1路线路平衡输出（凤凰接口）</w:t>
            </w:r>
            <w:r>
              <w:rPr>
                <w:rFonts w:hint="eastAsia" w:ascii="仿宋_GB2312" w:hAnsi="仿宋" w:eastAsia="仿宋_GB2312" w:cs="仿宋_GB2312"/>
                <w:color w:val="auto"/>
                <w:sz w:val="24"/>
                <w:szCs w:val="21"/>
                <w:highlight w:val="none"/>
                <w:lang w:eastAsia="zh-CN"/>
              </w:rPr>
              <w:t>；</w:t>
            </w:r>
          </w:p>
          <w:p w14:paraId="5F72DDA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带1路RS232控制接口、1路一键静音控制接口</w:t>
            </w:r>
            <w:r>
              <w:rPr>
                <w:rFonts w:hint="eastAsia" w:ascii="仿宋_GB2312" w:hAnsi="仿宋" w:eastAsia="仿宋_GB2312" w:cs="仿宋_GB2312"/>
                <w:color w:val="auto"/>
                <w:sz w:val="24"/>
                <w:szCs w:val="21"/>
                <w:highlight w:val="none"/>
                <w:lang w:eastAsia="zh-CN"/>
              </w:rPr>
              <w:t>；</w:t>
            </w:r>
          </w:p>
          <w:p w14:paraId="1C4C7E3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话筒和线路音量、高/低音独立可调，带功放L输出通道信号大小调节功能</w:t>
            </w:r>
            <w:r>
              <w:rPr>
                <w:rFonts w:hint="eastAsia" w:ascii="仿宋_GB2312" w:hAnsi="仿宋" w:eastAsia="仿宋_GB2312" w:cs="仿宋_GB2312"/>
                <w:color w:val="auto"/>
                <w:sz w:val="24"/>
                <w:szCs w:val="21"/>
                <w:highlight w:val="none"/>
                <w:lang w:eastAsia="zh-CN"/>
              </w:rPr>
              <w:t>；</w:t>
            </w:r>
          </w:p>
          <w:p w14:paraId="7A2D881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额定功率(RMS)：2×60W</w:t>
            </w:r>
            <w:r>
              <w:rPr>
                <w:rFonts w:hint="eastAsia" w:ascii="仿宋_GB2312" w:hAnsi="仿宋" w:eastAsia="仿宋_GB2312" w:cs="仿宋_GB2312"/>
                <w:color w:val="auto"/>
                <w:sz w:val="24"/>
                <w:szCs w:val="21"/>
                <w:highlight w:val="none"/>
                <w:lang w:val="en-US" w:eastAsia="zh-CN"/>
              </w:rPr>
              <w:t xml:space="preserve"> </w:t>
            </w:r>
            <w:r>
              <w:rPr>
                <w:rFonts w:hint="eastAsia" w:ascii="仿宋_GB2312" w:hAnsi="仿宋" w:eastAsia="仿宋_GB2312" w:cs="仿宋_GB2312"/>
                <w:color w:val="auto"/>
                <w:sz w:val="24"/>
                <w:szCs w:val="21"/>
                <w:highlight w:val="none"/>
              </w:rPr>
              <w:t>8Ω,2×120W</w:t>
            </w:r>
            <w:r>
              <w:rPr>
                <w:rFonts w:hint="eastAsia" w:ascii="仿宋_GB2312" w:hAnsi="仿宋" w:eastAsia="仿宋_GB2312" w:cs="仿宋_GB2312"/>
                <w:color w:val="auto"/>
                <w:sz w:val="24"/>
                <w:szCs w:val="21"/>
                <w:highlight w:val="none"/>
                <w:lang w:val="en-US" w:eastAsia="zh-CN"/>
              </w:rPr>
              <w:t xml:space="preserve"> </w:t>
            </w:r>
            <w:r>
              <w:rPr>
                <w:rFonts w:hint="eastAsia" w:ascii="仿宋_GB2312" w:hAnsi="仿宋" w:eastAsia="仿宋_GB2312" w:cs="仿宋_GB2312"/>
                <w:color w:val="auto"/>
                <w:sz w:val="24"/>
                <w:szCs w:val="21"/>
                <w:highlight w:val="none"/>
              </w:rPr>
              <w:t>4Ω</w:t>
            </w:r>
            <w:r>
              <w:rPr>
                <w:rFonts w:hint="eastAsia" w:ascii="仿宋_GB2312" w:hAnsi="仿宋" w:eastAsia="仿宋_GB2312" w:cs="仿宋_GB2312"/>
                <w:color w:val="auto"/>
                <w:sz w:val="24"/>
                <w:szCs w:val="21"/>
                <w:highlight w:val="none"/>
                <w:lang w:eastAsia="zh-CN"/>
              </w:rPr>
              <w:t>；</w:t>
            </w:r>
          </w:p>
          <w:p w14:paraId="4F1FFE8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总谐波失真：≤0.5%</w:t>
            </w:r>
            <w:r>
              <w:rPr>
                <w:rFonts w:hint="eastAsia" w:ascii="仿宋_GB2312" w:hAnsi="仿宋" w:eastAsia="仿宋_GB2312" w:cs="仿宋_GB2312"/>
                <w:color w:val="auto"/>
                <w:sz w:val="24"/>
                <w:szCs w:val="21"/>
                <w:highlight w:val="none"/>
                <w:lang w:eastAsia="zh-CN"/>
              </w:rPr>
              <w:t>；</w:t>
            </w:r>
          </w:p>
          <w:p w14:paraId="42130F1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8</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线路频率响应：20Hz～20KHz ±3dB，话筒频率响应：80Hz～16KHz ±3dB</w:t>
            </w:r>
            <w:r>
              <w:rPr>
                <w:rFonts w:hint="eastAsia" w:ascii="仿宋_GB2312" w:hAnsi="仿宋" w:eastAsia="仿宋_GB2312" w:cs="仿宋_GB2312"/>
                <w:color w:val="auto"/>
                <w:sz w:val="24"/>
                <w:szCs w:val="21"/>
                <w:highlight w:val="none"/>
                <w:lang w:eastAsia="zh-CN"/>
              </w:rPr>
              <w:t>；</w:t>
            </w:r>
          </w:p>
          <w:p w14:paraId="7DDB02F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9</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输入灵敏度：300±30mV线路，60±6mV有线话筒，200±20mV无线话筒</w:t>
            </w:r>
            <w:r>
              <w:rPr>
                <w:rFonts w:hint="eastAsia" w:ascii="仿宋_GB2312" w:hAnsi="仿宋" w:eastAsia="仿宋_GB2312" w:cs="仿宋_GB2312"/>
                <w:color w:val="auto"/>
                <w:sz w:val="24"/>
                <w:szCs w:val="21"/>
                <w:highlight w:val="none"/>
                <w:lang w:eastAsia="zh-CN"/>
              </w:rPr>
              <w:t>；</w:t>
            </w:r>
          </w:p>
          <w:p w14:paraId="481514E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信噪比：≥80dB</w:t>
            </w:r>
            <w:r>
              <w:rPr>
                <w:rFonts w:hint="eastAsia" w:ascii="仿宋_GB2312" w:hAnsi="仿宋" w:eastAsia="仿宋_GB2312" w:cs="仿宋_GB2312"/>
                <w:color w:val="auto"/>
                <w:sz w:val="24"/>
                <w:szCs w:val="21"/>
                <w:highlight w:val="none"/>
                <w:lang w:eastAsia="zh-CN"/>
              </w:rPr>
              <w:t>；</w:t>
            </w:r>
          </w:p>
          <w:p w14:paraId="3B7435E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线路高音提衰量（10KHz）：14dB±2dB，线路低音提衰量（100Hz）：14dB±2dB，话筒高音提衰量（10KHz）：14dB±2dB，话筒低音提衰量（100Hz）14dB±2dB</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148D47B2">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0DD4EBD2">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A29B79A">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43C33CE7">
            <w:pPr>
              <w:tabs>
                <w:tab w:val="left" w:pos="0"/>
              </w:tabs>
              <w:spacing w:line="240" w:lineRule="exact"/>
              <w:jc w:val="center"/>
              <w:rPr>
                <w:rFonts w:ascii="仿宋_GB2312" w:hAnsi="仿宋" w:eastAsia="仿宋_GB2312" w:cs="仿宋_GB2312"/>
                <w:color w:val="auto"/>
                <w:kern w:val="0"/>
                <w:sz w:val="24"/>
                <w:szCs w:val="21"/>
                <w:highlight w:val="none"/>
              </w:rPr>
            </w:pPr>
          </w:p>
        </w:tc>
      </w:tr>
      <w:tr w14:paraId="4565F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2BAC0A85">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品目9</w:t>
            </w:r>
          </w:p>
          <w:p w14:paraId="01C526A2">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产品名称：音箱</w:t>
            </w:r>
          </w:p>
          <w:p w14:paraId="785127ED">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1对</w:t>
            </w:r>
          </w:p>
          <w:p w14:paraId="5F542ABE">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31AB140D">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2D28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059433A">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032C1581">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2448612F">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663D760A">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4393E03C">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6C23E227">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10ACC689">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457A7815">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52C6A259">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72B0A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8E89AB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额定/峰值功率：≥60W/120W</w:t>
            </w:r>
            <w:r>
              <w:rPr>
                <w:rFonts w:hint="eastAsia" w:ascii="仿宋_GB2312" w:hAnsi="仿宋" w:eastAsia="仿宋_GB2312" w:cs="仿宋_GB2312"/>
                <w:color w:val="auto"/>
                <w:sz w:val="24"/>
                <w:szCs w:val="21"/>
                <w:highlight w:val="none"/>
                <w:lang w:eastAsia="zh-CN"/>
              </w:rPr>
              <w:t>；</w:t>
            </w:r>
          </w:p>
          <w:p w14:paraId="064976E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额定阻抗：≤8Ω</w:t>
            </w:r>
            <w:r>
              <w:rPr>
                <w:rFonts w:hint="eastAsia" w:ascii="仿宋_GB2312" w:hAnsi="仿宋" w:eastAsia="仿宋_GB2312" w:cs="仿宋_GB2312"/>
                <w:color w:val="auto"/>
                <w:sz w:val="24"/>
                <w:szCs w:val="21"/>
                <w:highlight w:val="none"/>
                <w:lang w:eastAsia="zh-CN"/>
              </w:rPr>
              <w:t>；</w:t>
            </w:r>
          </w:p>
          <w:p w14:paraId="316232D7">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 xml:space="preserve">特性灵敏度：≥88dB/w/m </w:t>
            </w:r>
            <w:r>
              <w:rPr>
                <w:rFonts w:hint="eastAsia" w:ascii="仿宋_GB2312" w:hAnsi="仿宋" w:eastAsia="仿宋_GB2312" w:cs="仿宋_GB2312"/>
                <w:color w:val="auto"/>
                <w:sz w:val="24"/>
                <w:szCs w:val="21"/>
                <w:highlight w:val="none"/>
                <w:lang w:eastAsia="zh-CN"/>
              </w:rPr>
              <w:t>；</w:t>
            </w:r>
          </w:p>
          <w:p w14:paraId="39169A2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输出声压级：≥107dB/W/m(</w:t>
            </w:r>
            <w:r>
              <w:rPr>
                <w:rFonts w:hint="eastAsia" w:ascii="仿宋_GB2312" w:hAnsi="仿宋" w:eastAsia="仿宋_GB2312" w:cs="仿宋_GB2312"/>
                <w:color w:val="auto"/>
                <w:sz w:val="24"/>
                <w:szCs w:val="21"/>
                <w:highlight w:val="none"/>
                <w:lang w:val="en-US" w:eastAsia="zh-CN"/>
              </w:rPr>
              <w:t>连续声压</w:t>
            </w:r>
            <w:r>
              <w:rPr>
                <w:rFonts w:hint="eastAsia" w:ascii="仿宋_GB2312" w:hAnsi="仿宋" w:eastAsia="仿宋_GB2312" w:cs="仿宋_GB2312"/>
                <w:color w:val="auto"/>
                <w:sz w:val="24"/>
                <w:szCs w:val="21"/>
                <w:highlight w:val="none"/>
              </w:rPr>
              <w:t>)；113dB/W/m(</w:t>
            </w:r>
            <w:r>
              <w:rPr>
                <w:rFonts w:hint="eastAsia" w:ascii="仿宋_GB2312" w:hAnsi="仿宋" w:eastAsia="仿宋_GB2312" w:cs="仿宋_GB2312"/>
                <w:color w:val="auto"/>
                <w:sz w:val="24"/>
                <w:szCs w:val="21"/>
                <w:highlight w:val="none"/>
                <w:lang w:val="en-US" w:eastAsia="zh-CN"/>
              </w:rPr>
              <w:t>最大声压</w:t>
            </w:r>
            <w:r>
              <w:rPr>
                <w:rFonts w:hint="eastAsia" w:ascii="仿宋_GB2312" w:hAnsi="仿宋" w:eastAsia="仿宋_GB2312" w:cs="仿宋_GB2312"/>
                <w:color w:val="auto"/>
                <w:sz w:val="24"/>
                <w:szCs w:val="21"/>
                <w:highlight w:val="none"/>
              </w:rPr>
              <w:t xml:space="preserve">) </w:t>
            </w:r>
            <w:r>
              <w:rPr>
                <w:rFonts w:hint="eastAsia" w:ascii="仿宋_GB2312" w:hAnsi="仿宋" w:eastAsia="仿宋_GB2312" w:cs="仿宋_GB2312"/>
                <w:color w:val="auto"/>
                <w:sz w:val="24"/>
                <w:szCs w:val="21"/>
                <w:highlight w:val="none"/>
                <w:lang w:eastAsia="zh-CN"/>
              </w:rPr>
              <w:t>；</w:t>
            </w:r>
          </w:p>
          <w:p w14:paraId="59EC420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额定频率范围（-3dB）：≥80Hz－18KHz</w:t>
            </w:r>
            <w:r>
              <w:rPr>
                <w:rFonts w:hint="eastAsia" w:ascii="仿宋_GB2312" w:hAnsi="仿宋" w:eastAsia="仿宋_GB2312" w:cs="仿宋_GB2312"/>
                <w:color w:val="auto"/>
                <w:sz w:val="24"/>
                <w:szCs w:val="21"/>
                <w:highlight w:val="none"/>
                <w:lang w:eastAsia="zh-CN"/>
              </w:rPr>
              <w:t>；</w:t>
            </w:r>
          </w:p>
          <w:p w14:paraId="6AC79EC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辐射角度（H×V）：≥90°×50°</w:t>
            </w:r>
            <w:r>
              <w:rPr>
                <w:rFonts w:hint="eastAsia" w:ascii="仿宋_GB2312" w:hAnsi="仿宋" w:eastAsia="仿宋_GB2312" w:cs="仿宋_GB2312"/>
                <w:color w:val="auto"/>
                <w:sz w:val="24"/>
                <w:szCs w:val="21"/>
                <w:highlight w:val="none"/>
                <w:lang w:eastAsia="zh-CN"/>
              </w:rPr>
              <w:t>；</w:t>
            </w:r>
          </w:p>
          <w:p w14:paraId="29BA14B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扬声器单元：≤LF：6.5"×1，HF：2"×1</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253B8931">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49B41A9">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21D2B9E4">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4A4343A3">
            <w:pPr>
              <w:tabs>
                <w:tab w:val="left" w:pos="0"/>
              </w:tabs>
              <w:spacing w:line="240" w:lineRule="exact"/>
              <w:jc w:val="center"/>
              <w:rPr>
                <w:rFonts w:ascii="仿宋_GB2312" w:hAnsi="仿宋" w:eastAsia="仿宋_GB2312" w:cs="仿宋_GB2312"/>
                <w:color w:val="auto"/>
                <w:kern w:val="0"/>
                <w:sz w:val="24"/>
                <w:szCs w:val="21"/>
                <w:highlight w:val="none"/>
              </w:rPr>
            </w:pPr>
          </w:p>
        </w:tc>
      </w:tr>
      <w:tr w14:paraId="2C733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57C91483">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品目10</w:t>
            </w:r>
          </w:p>
          <w:p w14:paraId="157A3419">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产品名称：话筒</w:t>
            </w:r>
          </w:p>
          <w:p w14:paraId="03FB8278">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1个</w:t>
            </w:r>
          </w:p>
          <w:p w14:paraId="7E5CB15C">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305AB145">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0394B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168C38B7">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70C3CF00">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32F5A675">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7F8CA0BE">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66293603">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23B3C01B">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7BAA5649">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2DE8B222">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6AFFD46D">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54CC6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2825725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抗RF射频干扰能力强，减少手机等信号影响</w:t>
            </w:r>
            <w:r>
              <w:rPr>
                <w:rFonts w:hint="eastAsia" w:ascii="仿宋_GB2312" w:hAnsi="仿宋" w:eastAsia="仿宋_GB2312" w:cs="仿宋_GB2312"/>
                <w:color w:val="auto"/>
                <w:sz w:val="24"/>
                <w:szCs w:val="21"/>
                <w:highlight w:val="none"/>
                <w:lang w:eastAsia="zh-CN"/>
              </w:rPr>
              <w:t>；</w:t>
            </w:r>
          </w:p>
          <w:p w14:paraId="64A9F9F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音质清晰自然，灵敏度高，拾音距离佳，品质卓越</w:t>
            </w:r>
            <w:r>
              <w:rPr>
                <w:rFonts w:hint="eastAsia" w:ascii="仿宋_GB2312" w:hAnsi="仿宋" w:eastAsia="仿宋_GB2312" w:cs="仿宋_GB2312"/>
                <w:color w:val="auto"/>
                <w:sz w:val="24"/>
                <w:szCs w:val="21"/>
                <w:highlight w:val="none"/>
                <w:lang w:eastAsia="zh-CN"/>
              </w:rPr>
              <w:t>；</w:t>
            </w:r>
          </w:p>
          <w:p w14:paraId="6C78326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咪杆与底座采用旋转式卡侬连接，避免连接器接触噪声</w:t>
            </w:r>
            <w:r>
              <w:rPr>
                <w:rFonts w:hint="eastAsia" w:ascii="仿宋_GB2312" w:hAnsi="仿宋" w:eastAsia="仿宋_GB2312" w:cs="仿宋_GB2312"/>
                <w:color w:val="auto"/>
                <w:sz w:val="24"/>
                <w:szCs w:val="21"/>
                <w:highlight w:val="none"/>
                <w:lang w:eastAsia="zh-CN"/>
              </w:rPr>
              <w:t>；</w:t>
            </w:r>
          </w:p>
          <w:p w14:paraId="4049023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换能方式：电容式</w:t>
            </w:r>
            <w:r>
              <w:rPr>
                <w:rFonts w:hint="eastAsia" w:ascii="仿宋_GB2312" w:hAnsi="仿宋" w:eastAsia="仿宋_GB2312" w:cs="仿宋_GB2312"/>
                <w:color w:val="auto"/>
                <w:sz w:val="24"/>
                <w:szCs w:val="21"/>
                <w:highlight w:val="none"/>
                <w:lang w:eastAsia="zh-CN"/>
              </w:rPr>
              <w:t>；</w:t>
            </w:r>
          </w:p>
          <w:p w14:paraId="215CCEB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频率响应：70Hz-12KHz</w:t>
            </w:r>
            <w:r>
              <w:rPr>
                <w:rFonts w:hint="eastAsia" w:ascii="仿宋_GB2312" w:hAnsi="仿宋" w:eastAsia="仿宋_GB2312" w:cs="仿宋_GB2312"/>
                <w:color w:val="auto"/>
                <w:sz w:val="24"/>
                <w:szCs w:val="21"/>
                <w:highlight w:val="none"/>
                <w:lang w:eastAsia="zh-CN"/>
              </w:rPr>
              <w:t>；</w:t>
            </w:r>
          </w:p>
          <w:p w14:paraId="32427E2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灵敏度：-29dB±3dB</w:t>
            </w:r>
            <w:r>
              <w:rPr>
                <w:rFonts w:hint="eastAsia" w:ascii="仿宋_GB2312" w:hAnsi="仿宋" w:eastAsia="仿宋_GB2312" w:cs="仿宋_GB2312"/>
                <w:color w:val="auto"/>
                <w:sz w:val="24"/>
                <w:szCs w:val="21"/>
                <w:highlight w:val="none"/>
                <w:lang w:eastAsia="zh-CN"/>
              </w:rPr>
              <w:t>；</w:t>
            </w:r>
          </w:p>
          <w:p w14:paraId="098BCA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指向性：心形单指向</w:t>
            </w:r>
            <w:r>
              <w:rPr>
                <w:rFonts w:hint="eastAsia" w:ascii="仿宋_GB2312" w:hAnsi="仿宋" w:eastAsia="仿宋_GB2312" w:cs="仿宋_GB2312"/>
                <w:color w:val="auto"/>
                <w:sz w:val="24"/>
                <w:szCs w:val="21"/>
                <w:highlight w:val="none"/>
                <w:lang w:eastAsia="zh-CN"/>
              </w:rPr>
              <w:t>；</w:t>
            </w:r>
          </w:p>
          <w:p w14:paraId="292C4C5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8</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最大声压级：≥114 dB</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5F968A7C">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81E03C7">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265FE892">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0E89BD7E">
            <w:pPr>
              <w:tabs>
                <w:tab w:val="left" w:pos="0"/>
              </w:tabs>
              <w:spacing w:line="240" w:lineRule="exact"/>
              <w:jc w:val="center"/>
              <w:rPr>
                <w:rFonts w:ascii="仿宋_GB2312" w:hAnsi="仿宋" w:eastAsia="仿宋_GB2312" w:cs="仿宋_GB2312"/>
                <w:color w:val="auto"/>
                <w:kern w:val="0"/>
                <w:sz w:val="24"/>
                <w:szCs w:val="21"/>
                <w:highlight w:val="none"/>
              </w:rPr>
            </w:pPr>
          </w:p>
        </w:tc>
      </w:tr>
      <w:tr w14:paraId="3EB47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5D1D1EF5">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品目11</w:t>
            </w:r>
          </w:p>
          <w:p w14:paraId="41FE591D">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产品名称：教师桌</w:t>
            </w:r>
          </w:p>
          <w:p w14:paraId="62BEC71E">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1张</w:t>
            </w:r>
          </w:p>
          <w:p w14:paraId="74104A86">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4A6EAAA2">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14265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6B7373E3">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12864B17">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6D956A87">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202E502C">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398C4251">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67E072F6">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57C723D4">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4B45F002">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64259DDB">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26825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23BF00F2">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kern w:val="2"/>
                <w:sz w:val="24"/>
                <w:szCs w:val="21"/>
                <w:highlight w:val="none"/>
                <w:lang w:val="en-US" w:eastAsia="zh-CN" w:bidi="ar-SA"/>
              </w:rPr>
              <w:t>1.长</w:t>
            </w:r>
            <w:r>
              <w:rPr>
                <w:rFonts w:hint="eastAsia" w:ascii="仿宋_GB2312" w:hAnsi="仿宋" w:eastAsia="仿宋_GB2312" w:cs="仿宋_GB2312"/>
                <w:color w:val="auto"/>
                <w:sz w:val="24"/>
                <w:szCs w:val="21"/>
                <w:highlight w:val="none"/>
              </w:rPr>
              <w:t>2000</w:t>
            </w:r>
            <w:r>
              <w:rPr>
                <w:rFonts w:hint="eastAsia" w:ascii="仿宋_GB2312" w:hAnsi="仿宋" w:eastAsia="仿宋_GB2312" w:cs="仿宋_GB2312"/>
                <w:color w:val="auto"/>
                <w:sz w:val="24"/>
                <w:szCs w:val="21"/>
                <w:highlight w:val="none"/>
                <w:lang w:val="en-US" w:eastAsia="zh-CN"/>
              </w:rPr>
              <w:t>mm×宽</w:t>
            </w:r>
            <w:r>
              <w:rPr>
                <w:rFonts w:hint="eastAsia" w:ascii="仿宋_GB2312" w:hAnsi="仿宋" w:eastAsia="仿宋_GB2312" w:cs="仿宋_GB2312"/>
                <w:color w:val="auto"/>
                <w:sz w:val="24"/>
                <w:szCs w:val="21"/>
                <w:highlight w:val="none"/>
              </w:rPr>
              <w:t>700</w:t>
            </w:r>
            <w:r>
              <w:rPr>
                <w:rFonts w:hint="eastAsia" w:ascii="仿宋_GB2312" w:hAnsi="仿宋" w:eastAsia="仿宋_GB2312" w:cs="仿宋_GB2312"/>
                <w:color w:val="auto"/>
                <w:sz w:val="24"/>
                <w:szCs w:val="21"/>
                <w:highlight w:val="none"/>
                <w:lang w:val="en-US" w:eastAsia="zh-CN"/>
              </w:rPr>
              <w:t>mm×高</w:t>
            </w:r>
            <w:r>
              <w:rPr>
                <w:rFonts w:hint="eastAsia" w:ascii="仿宋_GB2312" w:hAnsi="仿宋" w:eastAsia="仿宋_GB2312" w:cs="仿宋_GB2312"/>
                <w:color w:val="auto"/>
                <w:sz w:val="24"/>
                <w:szCs w:val="21"/>
                <w:highlight w:val="none"/>
              </w:rPr>
              <w:t>750mm</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lang w:val="en-US" w:eastAsia="zh-CN"/>
              </w:rPr>
              <w:t>误差±5mm</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；桌面采用三聚氰胺板，木纹贴面，厚度不小于18mm，环保</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可根据教室实际情况调整尺寸</w:t>
            </w:r>
            <w:r>
              <w:rPr>
                <w:rFonts w:hint="eastAsia" w:ascii="仿宋_GB2312" w:hAnsi="仿宋" w:eastAsia="仿宋_GB2312" w:cs="仿宋_GB2312"/>
                <w:color w:val="auto"/>
                <w:sz w:val="24"/>
                <w:szCs w:val="21"/>
                <w:highlight w:val="none"/>
                <w:lang w:eastAsia="zh-CN"/>
              </w:rPr>
              <w:t>；</w:t>
            </w:r>
          </w:p>
          <w:p w14:paraId="7456613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kern w:val="2"/>
                <w:sz w:val="24"/>
                <w:szCs w:val="21"/>
                <w:highlight w:val="none"/>
                <w:lang w:val="en-US" w:eastAsia="zh-CN" w:bidi="ar-SA"/>
              </w:rPr>
              <w:t>2</w:t>
            </w:r>
            <w:r>
              <w:rPr>
                <w:rFonts w:hint="eastAsia" w:ascii="仿宋_GB2312" w:hAnsi="仿宋" w:eastAsia="仿宋_GB2312" w:cs="仿宋_GB2312"/>
                <w:color w:val="auto"/>
                <w:sz w:val="24"/>
                <w:szCs w:val="21"/>
                <w:highlight w:val="none"/>
              </w:rPr>
              <w:t>.配套教师皮革椅，五星脚；可升降，360度旋转</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6F255ECA">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1C5689CE">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FC90A24">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717E15A0">
            <w:pPr>
              <w:tabs>
                <w:tab w:val="left" w:pos="0"/>
              </w:tabs>
              <w:spacing w:line="240" w:lineRule="exact"/>
              <w:jc w:val="center"/>
              <w:rPr>
                <w:rFonts w:ascii="仿宋_GB2312" w:hAnsi="仿宋" w:eastAsia="仿宋_GB2312" w:cs="仿宋_GB2312"/>
                <w:color w:val="auto"/>
                <w:kern w:val="0"/>
                <w:sz w:val="24"/>
                <w:szCs w:val="21"/>
                <w:highlight w:val="none"/>
              </w:rPr>
            </w:pPr>
          </w:p>
        </w:tc>
      </w:tr>
      <w:tr w14:paraId="72AD2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68C7774B">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品目12</w:t>
            </w:r>
          </w:p>
          <w:p w14:paraId="47BF9B35">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产品名称：学生语音桌</w:t>
            </w:r>
          </w:p>
          <w:p w14:paraId="41765BA8">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35套</w:t>
            </w:r>
          </w:p>
          <w:p w14:paraId="3FE965D4">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11D05CCE">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0060C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327CB7D2">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6274238A">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5E7AED70">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2FA8ACE9">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5F6047E0">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16F53D05">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3D2596B6">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5AD62442">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578BB697">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3761F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51D779B0">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kern w:val="2"/>
                <w:sz w:val="24"/>
                <w:szCs w:val="21"/>
                <w:highlight w:val="none"/>
                <w:lang w:val="en-US" w:eastAsia="zh-CN" w:bidi="ar-SA"/>
              </w:rPr>
              <w:t>1.</w:t>
            </w:r>
            <w:r>
              <w:rPr>
                <w:rFonts w:hint="eastAsia" w:ascii="仿宋_GB2312" w:hAnsi="仿宋" w:eastAsia="仿宋_GB2312" w:cs="仿宋_GB2312"/>
                <w:color w:val="auto"/>
                <w:sz w:val="24"/>
                <w:szCs w:val="21"/>
                <w:highlight w:val="none"/>
              </w:rPr>
              <w:t>双联语音桌</w:t>
            </w:r>
            <w:r>
              <w:rPr>
                <w:rFonts w:hint="eastAsia" w:ascii="仿宋_GB2312" w:hAnsi="仿宋" w:eastAsia="仿宋_GB2312" w:cs="仿宋_GB2312"/>
                <w:color w:val="auto"/>
                <w:sz w:val="24"/>
                <w:szCs w:val="21"/>
                <w:highlight w:val="none"/>
                <w:lang w:eastAsia="zh-CN"/>
              </w:rPr>
              <w:t>；</w:t>
            </w:r>
          </w:p>
          <w:p w14:paraId="3E9647B2">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尺寸：</w:t>
            </w:r>
            <w:r>
              <w:rPr>
                <w:rFonts w:hint="eastAsia" w:ascii="仿宋_GB2312" w:hAnsi="仿宋" w:eastAsia="仿宋_GB2312" w:cs="仿宋_GB2312"/>
                <w:color w:val="auto"/>
                <w:kern w:val="2"/>
                <w:sz w:val="24"/>
                <w:szCs w:val="21"/>
                <w:highlight w:val="none"/>
                <w:lang w:val="en-US" w:eastAsia="zh-CN" w:bidi="ar-SA"/>
              </w:rPr>
              <w:t>长</w:t>
            </w:r>
            <w:r>
              <w:rPr>
                <w:rFonts w:hint="eastAsia" w:ascii="仿宋_GB2312" w:hAnsi="仿宋" w:eastAsia="仿宋_GB2312" w:cs="仿宋_GB2312"/>
                <w:color w:val="auto"/>
                <w:sz w:val="24"/>
                <w:szCs w:val="21"/>
                <w:highlight w:val="none"/>
                <w:lang w:val="en-US" w:eastAsia="zh-CN"/>
              </w:rPr>
              <w:t>14</w:t>
            </w:r>
            <w:r>
              <w:rPr>
                <w:rFonts w:hint="eastAsia" w:ascii="仿宋_GB2312" w:hAnsi="仿宋" w:eastAsia="仿宋_GB2312" w:cs="仿宋_GB2312"/>
                <w:color w:val="auto"/>
                <w:sz w:val="24"/>
                <w:szCs w:val="21"/>
                <w:highlight w:val="none"/>
              </w:rPr>
              <w:t>00</w:t>
            </w:r>
            <w:r>
              <w:rPr>
                <w:rFonts w:hint="eastAsia" w:ascii="仿宋_GB2312" w:hAnsi="仿宋" w:eastAsia="仿宋_GB2312" w:cs="仿宋_GB2312"/>
                <w:color w:val="auto"/>
                <w:sz w:val="24"/>
                <w:szCs w:val="21"/>
                <w:highlight w:val="none"/>
                <w:lang w:val="en-US" w:eastAsia="zh-CN"/>
              </w:rPr>
              <w:t>mm×宽5</w:t>
            </w:r>
            <w:r>
              <w:rPr>
                <w:rFonts w:hint="eastAsia" w:ascii="仿宋_GB2312" w:hAnsi="仿宋" w:eastAsia="仿宋_GB2312" w:cs="仿宋_GB2312"/>
                <w:color w:val="auto"/>
                <w:sz w:val="24"/>
                <w:szCs w:val="21"/>
                <w:highlight w:val="none"/>
              </w:rPr>
              <w:t>00</w:t>
            </w:r>
            <w:r>
              <w:rPr>
                <w:rFonts w:hint="eastAsia" w:ascii="仿宋_GB2312" w:hAnsi="仿宋" w:eastAsia="仿宋_GB2312" w:cs="仿宋_GB2312"/>
                <w:color w:val="auto"/>
                <w:sz w:val="24"/>
                <w:szCs w:val="21"/>
                <w:highlight w:val="none"/>
                <w:lang w:val="en-US" w:eastAsia="zh-CN"/>
              </w:rPr>
              <w:t>mm×高</w:t>
            </w:r>
            <w:r>
              <w:rPr>
                <w:rFonts w:hint="eastAsia" w:ascii="仿宋_GB2312" w:hAnsi="仿宋" w:eastAsia="仿宋_GB2312" w:cs="仿宋_GB2312"/>
                <w:color w:val="auto"/>
                <w:sz w:val="24"/>
                <w:szCs w:val="21"/>
                <w:highlight w:val="none"/>
              </w:rPr>
              <w:t>750mm</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lang w:val="en-US" w:eastAsia="zh-CN"/>
              </w:rPr>
              <w:t>误差±5mm</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可根据教室实际情况调整尺寸</w:t>
            </w:r>
            <w:r>
              <w:rPr>
                <w:rFonts w:hint="eastAsia" w:ascii="仿宋_GB2312" w:hAnsi="仿宋" w:eastAsia="仿宋_GB2312" w:cs="仿宋_GB2312"/>
                <w:color w:val="auto"/>
                <w:sz w:val="24"/>
                <w:szCs w:val="21"/>
                <w:highlight w:val="none"/>
                <w:lang w:eastAsia="zh-CN"/>
              </w:rPr>
              <w:t>；</w:t>
            </w:r>
          </w:p>
          <w:p w14:paraId="098B32E0">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kern w:val="2"/>
                <w:sz w:val="24"/>
                <w:szCs w:val="21"/>
                <w:highlight w:val="none"/>
                <w:lang w:val="en-US" w:eastAsia="zh-CN" w:bidi="ar-SA"/>
              </w:rPr>
              <w:t>3</w:t>
            </w:r>
            <w:r>
              <w:rPr>
                <w:rFonts w:hint="eastAsia" w:ascii="仿宋_GB2312" w:hAnsi="仿宋" w:eastAsia="仿宋_GB2312" w:cs="仿宋_GB2312"/>
                <w:color w:val="auto"/>
                <w:kern w:val="2"/>
                <w:sz w:val="24"/>
                <w:szCs w:val="21"/>
                <w:highlight w:val="none"/>
                <w:lang w:val="en-US" w:eastAsia="zh-CN" w:bidi="ar-SA"/>
              </w:rPr>
              <w:t>.</w:t>
            </w:r>
            <w:r>
              <w:rPr>
                <w:rFonts w:hint="eastAsia" w:ascii="仿宋_GB2312" w:hAnsi="仿宋" w:eastAsia="仿宋_GB2312" w:cs="仿宋_GB2312"/>
                <w:color w:val="auto"/>
                <w:sz w:val="24"/>
                <w:szCs w:val="21"/>
                <w:highlight w:val="none"/>
              </w:rPr>
              <w:t>桌面采用三聚氰胺板，木纹贴面，厚度不小于18mm，环保，安装隔板和前挡玻璃</w:t>
            </w:r>
            <w:r>
              <w:rPr>
                <w:rFonts w:hint="eastAsia" w:ascii="仿宋_GB2312" w:hAnsi="仿宋" w:eastAsia="仿宋_GB2312" w:cs="仿宋_GB2312"/>
                <w:color w:val="auto"/>
                <w:sz w:val="24"/>
                <w:szCs w:val="21"/>
                <w:highlight w:val="none"/>
                <w:lang w:eastAsia="zh-CN"/>
              </w:rPr>
              <w:t>；</w:t>
            </w:r>
          </w:p>
          <w:p w14:paraId="00F0CD5D">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kern w:val="2"/>
                <w:sz w:val="24"/>
                <w:szCs w:val="21"/>
                <w:highlight w:val="none"/>
                <w:lang w:val="en-US" w:eastAsia="zh-CN" w:bidi="ar-SA"/>
              </w:rPr>
              <w:t>4</w:t>
            </w:r>
            <w:r>
              <w:rPr>
                <w:rFonts w:hint="eastAsia" w:ascii="仿宋_GB2312" w:hAnsi="仿宋" w:eastAsia="仿宋_GB2312" w:cs="仿宋_GB2312"/>
                <w:color w:val="auto"/>
                <w:kern w:val="2"/>
                <w:sz w:val="24"/>
                <w:szCs w:val="21"/>
                <w:highlight w:val="none"/>
                <w:lang w:val="en-US" w:eastAsia="zh-CN" w:bidi="ar-SA"/>
              </w:rPr>
              <w:t>.</w:t>
            </w:r>
            <w:r>
              <w:rPr>
                <w:rFonts w:hint="eastAsia" w:ascii="仿宋_GB2312" w:hAnsi="仿宋" w:eastAsia="仿宋_GB2312" w:cs="仿宋_GB2312"/>
                <w:color w:val="auto"/>
                <w:sz w:val="24"/>
                <w:szCs w:val="21"/>
                <w:highlight w:val="none"/>
              </w:rPr>
              <w:t>配套2个学生椅</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靠背式，钢腿厚度1mm，坚固耐用；坐垫为弹力海绵；采用优质网布，透气性好</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11D78997">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175B055">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396F0C8">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1AAB4250">
            <w:pPr>
              <w:tabs>
                <w:tab w:val="left" w:pos="0"/>
              </w:tabs>
              <w:spacing w:line="240" w:lineRule="exact"/>
              <w:jc w:val="center"/>
              <w:rPr>
                <w:rFonts w:ascii="仿宋_GB2312" w:hAnsi="仿宋" w:eastAsia="仿宋_GB2312" w:cs="仿宋_GB2312"/>
                <w:color w:val="auto"/>
                <w:kern w:val="0"/>
                <w:sz w:val="24"/>
                <w:szCs w:val="21"/>
                <w:highlight w:val="none"/>
              </w:rPr>
            </w:pPr>
          </w:p>
        </w:tc>
      </w:tr>
      <w:tr w14:paraId="06E05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0BAF2CA1">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品目13</w:t>
            </w:r>
          </w:p>
          <w:p w14:paraId="4012611A">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产品名称：交换机</w:t>
            </w:r>
          </w:p>
          <w:p w14:paraId="0C2F1F0A">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4台</w:t>
            </w:r>
          </w:p>
          <w:p w14:paraId="39B263CE">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7C2B143E">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12436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3F7A4F8">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277B6D0D">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57DB2608">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7A800799">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6160812B">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1A8D20DA">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588F3050">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4D9C97D5">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5909BABC">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4B49D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418854FE">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不少于24个千兆以太网口</w:t>
            </w:r>
            <w:r>
              <w:rPr>
                <w:rFonts w:hint="eastAsia" w:ascii="仿宋_GB2312" w:hAnsi="仿宋" w:eastAsia="仿宋_GB2312" w:cs="仿宋_GB2312"/>
                <w:color w:val="auto"/>
                <w:sz w:val="24"/>
                <w:szCs w:val="21"/>
                <w:highlight w:val="none"/>
                <w:lang w:eastAsia="zh-CN"/>
              </w:rPr>
              <w:t>；</w:t>
            </w:r>
          </w:p>
          <w:p w14:paraId="3492CE39">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kern w:val="2"/>
                <w:sz w:val="24"/>
                <w:szCs w:val="21"/>
                <w:highlight w:val="none"/>
                <w:lang w:val="en-US" w:eastAsia="zh-CN" w:bidi="ar-SA"/>
              </w:rPr>
              <w:t>2.</w:t>
            </w:r>
            <w:r>
              <w:rPr>
                <w:rFonts w:hint="eastAsia" w:ascii="仿宋_GB2312" w:hAnsi="仿宋" w:eastAsia="仿宋_GB2312" w:cs="仿宋_GB2312"/>
                <w:color w:val="auto"/>
                <w:sz w:val="24"/>
                <w:szCs w:val="21"/>
                <w:highlight w:val="none"/>
              </w:rPr>
              <w:t>交换容量不小于48Gbps</w:t>
            </w:r>
            <w:r>
              <w:rPr>
                <w:rFonts w:hint="eastAsia" w:ascii="仿宋_GB2312" w:hAnsi="仿宋" w:eastAsia="仿宋_GB2312" w:cs="仿宋_GB2312"/>
                <w:color w:val="auto"/>
                <w:sz w:val="24"/>
                <w:szCs w:val="21"/>
                <w:highlight w:val="none"/>
                <w:lang w:eastAsia="zh-CN"/>
              </w:rPr>
              <w:t>；</w:t>
            </w:r>
          </w:p>
          <w:p w14:paraId="1A79DCBB">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kern w:val="2"/>
                <w:sz w:val="24"/>
                <w:szCs w:val="21"/>
                <w:highlight w:val="none"/>
                <w:lang w:val="en-US" w:eastAsia="zh-CN" w:bidi="ar-SA"/>
              </w:rPr>
              <w:t>3</w:t>
            </w:r>
            <w:r>
              <w:rPr>
                <w:rFonts w:hint="eastAsia" w:ascii="仿宋_GB2312" w:hAnsi="仿宋" w:eastAsia="仿宋_GB2312" w:cs="仿宋_GB2312"/>
                <w:color w:val="auto"/>
                <w:kern w:val="2"/>
                <w:sz w:val="24"/>
                <w:szCs w:val="21"/>
                <w:highlight w:val="none"/>
                <w:lang w:val="en-US" w:eastAsia="zh-CN" w:bidi="ar-SA"/>
              </w:rPr>
              <w:t>.</w:t>
            </w:r>
            <w:r>
              <w:rPr>
                <w:rFonts w:hint="eastAsia" w:ascii="仿宋_GB2312" w:hAnsi="仿宋" w:eastAsia="仿宋_GB2312" w:cs="仿宋_GB2312"/>
                <w:color w:val="auto"/>
                <w:sz w:val="24"/>
                <w:szCs w:val="21"/>
                <w:highlight w:val="none"/>
              </w:rPr>
              <w:t>包转发率不小于36Mpps</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23F25B90">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065EECFD">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7BE3B339">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2D73F097">
            <w:pPr>
              <w:tabs>
                <w:tab w:val="left" w:pos="0"/>
              </w:tabs>
              <w:spacing w:line="240" w:lineRule="exact"/>
              <w:jc w:val="center"/>
              <w:rPr>
                <w:rFonts w:ascii="仿宋_GB2312" w:hAnsi="仿宋" w:eastAsia="仿宋_GB2312" w:cs="仿宋_GB2312"/>
                <w:color w:val="auto"/>
                <w:kern w:val="0"/>
                <w:sz w:val="24"/>
                <w:szCs w:val="21"/>
                <w:highlight w:val="none"/>
              </w:rPr>
            </w:pPr>
          </w:p>
        </w:tc>
      </w:tr>
      <w:tr w14:paraId="4F0D6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4D1A681E">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品目14</w:t>
            </w:r>
          </w:p>
          <w:p w14:paraId="224B583E">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产品名称：机柜</w:t>
            </w:r>
          </w:p>
          <w:p w14:paraId="443DFF05">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1个</w:t>
            </w:r>
          </w:p>
          <w:p w14:paraId="753F676C">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44EDA34A">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2B36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0A46229D">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19278F31">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0CF18885">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7B237A6D">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544C2027">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34497A4A">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108C6361">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6CDF6D82">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3CCF8EE4">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3198B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1CF7E7FA">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kern w:val="2"/>
                <w:sz w:val="24"/>
                <w:szCs w:val="21"/>
                <w:highlight w:val="none"/>
                <w:lang w:val="en-US" w:eastAsia="zh-CN" w:bidi="ar-SA"/>
              </w:rPr>
              <w:t>1.</w:t>
            </w:r>
            <w:r>
              <w:rPr>
                <w:rFonts w:hint="eastAsia" w:ascii="仿宋_GB2312" w:hAnsi="仿宋" w:eastAsia="仿宋_GB2312" w:cs="仿宋_GB2312"/>
                <w:color w:val="auto"/>
                <w:sz w:val="24"/>
                <w:szCs w:val="21"/>
                <w:highlight w:val="none"/>
              </w:rPr>
              <w:t>不小于1600</w:t>
            </w:r>
            <w:r>
              <w:rPr>
                <w:rFonts w:hint="default"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600</w:t>
            </w:r>
            <w:r>
              <w:rPr>
                <w:rFonts w:hint="default"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1000mm专用服务器机柜</w:t>
            </w:r>
            <w:r>
              <w:rPr>
                <w:rFonts w:hint="eastAsia" w:ascii="仿宋_GB2312" w:hAnsi="仿宋" w:eastAsia="仿宋_GB2312" w:cs="仿宋_GB2312"/>
                <w:color w:val="auto"/>
                <w:sz w:val="24"/>
                <w:szCs w:val="21"/>
                <w:highlight w:val="none"/>
                <w:lang w:eastAsia="zh-CN"/>
              </w:rPr>
              <w:t>；</w:t>
            </w:r>
          </w:p>
          <w:p w14:paraId="42867A18">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kern w:val="2"/>
                <w:sz w:val="24"/>
                <w:szCs w:val="21"/>
                <w:highlight w:val="none"/>
                <w:lang w:val="en-US" w:eastAsia="zh-CN" w:bidi="ar-SA"/>
              </w:rPr>
              <w:t>2</w:t>
            </w:r>
            <w:r>
              <w:rPr>
                <w:rFonts w:hint="eastAsia" w:ascii="仿宋_GB2312" w:hAnsi="仿宋" w:eastAsia="仿宋_GB2312" w:cs="仿宋_GB2312"/>
                <w:color w:val="auto"/>
                <w:kern w:val="2"/>
                <w:sz w:val="24"/>
                <w:szCs w:val="21"/>
                <w:highlight w:val="none"/>
                <w:lang w:val="en-US" w:eastAsia="zh-CN" w:bidi="ar-SA"/>
              </w:rPr>
              <w:t>.</w:t>
            </w:r>
            <w:r>
              <w:rPr>
                <w:rFonts w:hint="eastAsia" w:ascii="仿宋_GB2312" w:hAnsi="仿宋" w:eastAsia="仿宋_GB2312" w:cs="仿宋_GB2312"/>
                <w:color w:val="auto"/>
                <w:sz w:val="24"/>
                <w:szCs w:val="21"/>
                <w:highlight w:val="none"/>
              </w:rPr>
              <w:t>采用优质冷扎钢板制作，整体框架结构设计</w:t>
            </w:r>
            <w:r>
              <w:rPr>
                <w:rFonts w:hint="eastAsia" w:ascii="仿宋_GB2312" w:hAnsi="仿宋" w:eastAsia="仿宋_GB2312" w:cs="仿宋_GB2312"/>
                <w:color w:val="auto"/>
                <w:sz w:val="24"/>
                <w:szCs w:val="21"/>
                <w:highlight w:val="none"/>
                <w:lang w:eastAsia="zh-CN"/>
              </w:rPr>
              <w:t>；</w:t>
            </w:r>
          </w:p>
          <w:p w14:paraId="679CE9E6">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kern w:val="2"/>
                <w:sz w:val="24"/>
                <w:szCs w:val="21"/>
                <w:highlight w:val="none"/>
                <w:lang w:val="en-US" w:eastAsia="zh-CN" w:bidi="ar-SA"/>
              </w:rPr>
              <w:t>3</w:t>
            </w:r>
            <w:r>
              <w:rPr>
                <w:rFonts w:hint="eastAsia" w:ascii="仿宋_GB2312" w:hAnsi="仿宋" w:eastAsia="仿宋_GB2312" w:cs="仿宋_GB2312"/>
                <w:color w:val="auto"/>
                <w:kern w:val="2"/>
                <w:sz w:val="24"/>
                <w:szCs w:val="21"/>
                <w:highlight w:val="none"/>
                <w:lang w:val="en-US" w:eastAsia="zh-CN" w:bidi="ar-SA"/>
              </w:rPr>
              <w:t>.</w:t>
            </w:r>
            <w:r>
              <w:rPr>
                <w:rFonts w:hint="eastAsia" w:ascii="仿宋_GB2312" w:hAnsi="仿宋" w:eastAsia="仿宋_GB2312" w:cs="仿宋_GB2312"/>
                <w:color w:val="auto"/>
                <w:sz w:val="24"/>
                <w:szCs w:val="21"/>
                <w:highlight w:val="none"/>
              </w:rPr>
              <w:t>机柜深度不小于800 mm，立柱厚度不低于2.0 mm，其余部分钢板厚度不低于1.2 mm</w:t>
            </w:r>
            <w:r>
              <w:rPr>
                <w:rFonts w:hint="eastAsia" w:ascii="仿宋_GB2312" w:hAnsi="仿宋" w:eastAsia="仿宋_GB2312" w:cs="仿宋_GB2312"/>
                <w:color w:val="auto"/>
                <w:sz w:val="24"/>
                <w:szCs w:val="21"/>
                <w:highlight w:val="none"/>
                <w:lang w:eastAsia="zh-CN"/>
              </w:rPr>
              <w:t>；</w:t>
            </w:r>
          </w:p>
          <w:p w14:paraId="347EFD1D">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ascii="仿宋_GB2312" w:hAnsi="仿宋" w:eastAsia="仿宋_GB2312" w:cs="仿宋_GB2312"/>
                <w:color w:val="auto"/>
                <w:kern w:val="2"/>
                <w:sz w:val="24"/>
                <w:szCs w:val="21"/>
                <w:highlight w:val="none"/>
                <w:lang w:val="en-US" w:eastAsia="zh-CN" w:bidi="ar-SA"/>
              </w:rPr>
              <w:t>4</w:t>
            </w:r>
            <w:r>
              <w:rPr>
                <w:rFonts w:hint="eastAsia" w:ascii="仿宋_GB2312" w:hAnsi="仿宋" w:eastAsia="仿宋_GB2312" w:cs="仿宋_GB2312"/>
                <w:color w:val="auto"/>
                <w:kern w:val="2"/>
                <w:sz w:val="24"/>
                <w:szCs w:val="21"/>
                <w:highlight w:val="none"/>
                <w:lang w:val="en-US" w:eastAsia="zh-CN" w:bidi="ar-SA"/>
              </w:rPr>
              <w:t>.</w:t>
            </w:r>
            <w:r>
              <w:rPr>
                <w:rFonts w:hint="eastAsia" w:ascii="仿宋_GB2312" w:hAnsi="仿宋" w:eastAsia="仿宋_GB2312" w:cs="仿宋_GB2312"/>
                <w:color w:val="auto"/>
                <w:sz w:val="24"/>
                <w:szCs w:val="21"/>
                <w:highlight w:val="none"/>
              </w:rPr>
              <w:t>静载500KG以上</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0F4EB6C0">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419BBFE0">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6E893715">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498B7F3F">
            <w:pPr>
              <w:tabs>
                <w:tab w:val="left" w:pos="0"/>
              </w:tabs>
              <w:spacing w:line="240" w:lineRule="exact"/>
              <w:jc w:val="center"/>
              <w:rPr>
                <w:rFonts w:ascii="仿宋_GB2312" w:hAnsi="仿宋" w:eastAsia="仿宋_GB2312" w:cs="仿宋_GB2312"/>
                <w:color w:val="auto"/>
                <w:kern w:val="0"/>
                <w:sz w:val="24"/>
                <w:szCs w:val="21"/>
                <w:highlight w:val="none"/>
              </w:rPr>
            </w:pPr>
          </w:p>
        </w:tc>
      </w:tr>
      <w:tr w14:paraId="31B0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01F3E4D4">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品目15</w:t>
            </w:r>
          </w:p>
          <w:p w14:paraId="54C6DAC4">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产品名称：智慧课堂教学微课软件</w:t>
            </w:r>
          </w:p>
          <w:p w14:paraId="6BCFAB9C">
            <w:pPr>
              <w:pStyle w:val="21"/>
              <w:widowControl w:val="0"/>
              <w:adjustRightInd w:val="0"/>
              <w:snapToGrid w:val="0"/>
              <w:spacing w:before="0" w:beforeAutospacing="0" w:after="0" w:afterAutospacing="0"/>
              <w:jc w:val="both"/>
              <w:rPr>
                <w:rFonts w:hint="default" w:ascii="仿宋_GB2312" w:hAnsi="仿宋" w:eastAsia="仿宋_GB2312" w:cs="仿宋_GB2312"/>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1套</w:t>
            </w:r>
          </w:p>
          <w:p w14:paraId="7A22DA54">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7610D0AB">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b w:val="0"/>
                <w:bCs w:val="0"/>
                <w:color w:val="auto"/>
                <w:sz w:val="24"/>
                <w:szCs w:val="21"/>
                <w:highlight w:val="none"/>
              </w:rPr>
              <w:t>是否为核心产品（非单一产品采购项目时适用）：</w:t>
            </w:r>
            <w:r>
              <w:rPr>
                <w:rFonts w:hint="eastAsia" w:ascii="仿宋_GB2312" w:hAnsi="仿宋" w:eastAsia="仿宋_GB2312" w:cs="仿宋_GB2312"/>
                <w:b w:val="0"/>
                <w:bCs w:val="0"/>
                <w:color w:val="auto"/>
                <w:sz w:val="24"/>
                <w:szCs w:val="21"/>
                <w:highlight w:val="none"/>
                <w:lang w:val="en-US" w:eastAsia="zh-CN"/>
              </w:rPr>
              <w:t>否</w:t>
            </w:r>
          </w:p>
        </w:tc>
      </w:tr>
      <w:tr w14:paraId="1FBE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325BD769">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739C2893">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75CF3D19">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649BAECE">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19DE2965">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6A439031">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2202BBC5">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2EFA51D8">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7F7B494F">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526CB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3C9C16A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一、基础功能</w:t>
            </w:r>
          </w:p>
          <w:p w14:paraId="5BCAF25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系统须支持适配多终端的使用场景需求，教师端应支持网页端、PC端、APP端（同时具有iOS及Android）；学生端应支持APP端（同时具有iOS及Android）、微信公众号端；各个终端之间可自由切换，所有操作数据均可实时同步</w:t>
            </w:r>
            <w:r>
              <w:rPr>
                <w:rFonts w:hint="eastAsia" w:ascii="仿宋_GB2312" w:hAnsi="仿宋" w:eastAsia="仿宋_GB2312" w:cs="仿宋_GB2312"/>
                <w:color w:val="auto"/>
                <w:sz w:val="24"/>
                <w:szCs w:val="21"/>
                <w:highlight w:val="none"/>
                <w:lang w:eastAsia="zh-CN"/>
              </w:rPr>
              <w:t>；</w:t>
            </w:r>
          </w:p>
          <w:p w14:paraId="111C399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2.系统应支持过程性教学全流程，满足课前备课、课上互动、课后训练、复课评课的整体的使用需求</w:t>
            </w:r>
            <w:r>
              <w:rPr>
                <w:rFonts w:hint="eastAsia" w:ascii="仿宋_GB2312" w:hAnsi="仿宋" w:eastAsia="仿宋_GB2312" w:cs="仿宋_GB2312"/>
                <w:color w:val="auto"/>
                <w:sz w:val="24"/>
                <w:szCs w:val="21"/>
                <w:highlight w:val="none"/>
                <w:lang w:eastAsia="zh-CN"/>
              </w:rPr>
              <w:t>；</w:t>
            </w:r>
          </w:p>
          <w:p w14:paraId="6A40208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3.系统应支持使用中间库方式来获取数据中心的标准数据</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对于第三方应用程序提供基于OAuth2.0的授权认证数据访问管理功能</w:t>
            </w:r>
            <w:r>
              <w:rPr>
                <w:rFonts w:hint="eastAsia" w:ascii="仿宋_GB2312" w:hAnsi="仿宋" w:eastAsia="仿宋_GB2312" w:cs="仿宋_GB2312"/>
                <w:color w:val="auto"/>
                <w:sz w:val="24"/>
                <w:szCs w:val="21"/>
                <w:highlight w:val="none"/>
                <w:lang w:eastAsia="zh-CN"/>
              </w:rPr>
              <w:t>；</w:t>
            </w:r>
          </w:p>
          <w:p w14:paraId="587050F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系统应支持不同权限身份有不同用户层级功能，应至少包含学校管理员、教师、学生三种身份；支持对基本信息提供维护功能，包括基本信息添加、修改、删除、组织机构信息添加、修改删除、同时提供批量导入、导出、删除功能</w:t>
            </w:r>
            <w:r>
              <w:rPr>
                <w:rFonts w:hint="eastAsia" w:ascii="仿宋_GB2312" w:hAnsi="仿宋" w:eastAsia="仿宋_GB2312" w:cs="仿宋_GB2312"/>
                <w:color w:val="auto"/>
                <w:sz w:val="24"/>
                <w:szCs w:val="21"/>
                <w:highlight w:val="none"/>
                <w:lang w:eastAsia="zh-CN"/>
              </w:rPr>
              <w:t>；</w:t>
            </w:r>
          </w:p>
          <w:p w14:paraId="4489EF4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4.1学校管理模块</w:t>
            </w:r>
          </w:p>
          <w:p w14:paraId="325EF5D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1）创建、查看院系信息、修改院系名称、查看各院系相应的自然班列表</w:t>
            </w:r>
            <w:r>
              <w:rPr>
                <w:rFonts w:hint="eastAsia" w:ascii="仿宋_GB2312" w:hAnsi="仿宋" w:eastAsia="仿宋_GB2312" w:cs="仿宋_GB2312"/>
                <w:color w:val="auto"/>
                <w:sz w:val="24"/>
                <w:szCs w:val="21"/>
                <w:highlight w:val="none"/>
                <w:lang w:eastAsia="zh-CN"/>
              </w:rPr>
              <w:t>；</w:t>
            </w:r>
          </w:p>
          <w:p w14:paraId="5843B51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2）查看自然班信息、修改自然班名称和年级、管理各班级下的学生账号</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支持班级名称搜索</w:t>
            </w:r>
            <w:r>
              <w:rPr>
                <w:rFonts w:hint="eastAsia" w:ascii="仿宋_GB2312" w:hAnsi="仿宋" w:eastAsia="仿宋_GB2312" w:cs="仿宋_GB2312"/>
                <w:color w:val="auto"/>
                <w:sz w:val="24"/>
                <w:szCs w:val="21"/>
                <w:highlight w:val="none"/>
                <w:lang w:eastAsia="zh-CN"/>
              </w:rPr>
              <w:t>；</w:t>
            </w:r>
          </w:p>
          <w:p w14:paraId="4F1C37F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3）查看教学班信息；修改教学班名称、年级、所属院系和授课教师信息；管理各班级下的学生账号；为教学班选择相应的课程、关联相关应用</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支持院系和年级筛选和班级名称搜索</w:t>
            </w:r>
            <w:r>
              <w:rPr>
                <w:rFonts w:hint="eastAsia" w:ascii="仿宋_GB2312" w:hAnsi="仿宋" w:eastAsia="仿宋_GB2312" w:cs="仿宋_GB2312"/>
                <w:color w:val="auto"/>
                <w:sz w:val="24"/>
                <w:szCs w:val="21"/>
                <w:highlight w:val="none"/>
                <w:lang w:eastAsia="zh-CN"/>
              </w:rPr>
              <w:t>；</w:t>
            </w:r>
          </w:p>
          <w:p w14:paraId="7114DE7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4）为学校建立各课程的代码和名称信息，并支持修改，课程未使用情况下支持删除</w:t>
            </w:r>
            <w:r>
              <w:rPr>
                <w:rFonts w:hint="eastAsia" w:ascii="仿宋_GB2312" w:hAnsi="仿宋" w:eastAsia="仿宋_GB2312" w:cs="仿宋_GB2312"/>
                <w:color w:val="auto"/>
                <w:sz w:val="24"/>
                <w:szCs w:val="21"/>
                <w:highlight w:val="none"/>
                <w:lang w:eastAsia="zh-CN"/>
              </w:rPr>
              <w:t>；</w:t>
            </w:r>
          </w:p>
          <w:p w14:paraId="79F332A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5）查看和修改教师账号信息</w:t>
            </w:r>
            <w:r>
              <w:rPr>
                <w:rFonts w:hint="eastAsia" w:ascii="仿宋_GB2312" w:hAnsi="仿宋" w:eastAsia="仿宋_GB2312" w:cs="仿宋_GB2312"/>
                <w:color w:val="auto"/>
                <w:sz w:val="24"/>
                <w:szCs w:val="21"/>
                <w:highlight w:val="none"/>
                <w:lang w:eastAsia="zh-CN"/>
              </w:rPr>
              <w:t>；</w:t>
            </w:r>
          </w:p>
          <w:p w14:paraId="27A939B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6）查看和修改教师账号信息；初始化学生账号密码</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支持院系筛选和姓名、学号搜索</w:t>
            </w:r>
            <w:r>
              <w:rPr>
                <w:rFonts w:hint="eastAsia" w:ascii="仿宋_GB2312" w:hAnsi="仿宋" w:eastAsia="仿宋_GB2312" w:cs="仿宋_GB2312"/>
                <w:color w:val="auto"/>
                <w:sz w:val="24"/>
                <w:szCs w:val="21"/>
                <w:highlight w:val="none"/>
                <w:lang w:eastAsia="zh-CN"/>
              </w:rPr>
              <w:t>；</w:t>
            </w:r>
          </w:p>
          <w:p w14:paraId="3217F37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4.2教师管理模块</w:t>
            </w:r>
          </w:p>
          <w:p w14:paraId="0CED93A7">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1）查看教学班信息，管理班级学生（修改学生信息、初始化学生账号密码、移除学生）；为教学班关联相应应用；创建教学班，通过开放班级密码形式让学生加入班级</w:t>
            </w:r>
            <w:r>
              <w:rPr>
                <w:rFonts w:hint="eastAsia" w:ascii="仿宋_GB2312" w:hAnsi="仿宋" w:eastAsia="仿宋_GB2312" w:cs="仿宋_GB2312"/>
                <w:color w:val="auto"/>
                <w:sz w:val="24"/>
                <w:szCs w:val="21"/>
                <w:highlight w:val="none"/>
                <w:lang w:eastAsia="zh-CN"/>
              </w:rPr>
              <w:t>；</w:t>
            </w:r>
          </w:p>
          <w:p w14:paraId="4771865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2）查看各应用班级成绩数据和查看该教师在各应用以及平台资源库的工作量</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支持导出成绩报表</w:t>
            </w:r>
            <w:r>
              <w:rPr>
                <w:rFonts w:hint="eastAsia" w:ascii="仿宋_GB2312" w:hAnsi="仿宋" w:eastAsia="仿宋_GB2312" w:cs="仿宋_GB2312"/>
                <w:color w:val="auto"/>
                <w:sz w:val="24"/>
                <w:szCs w:val="21"/>
                <w:highlight w:val="none"/>
                <w:lang w:eastAsia="zh-CN"/>
              </w:rPr>
              <w:t>；</w:t>
            </w:r>
          </w:p>
          <w:p w14:paraId="30984E4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4.3学生管理模块</w:t>
            </w:r>
          </w:p>
          <w:p w14:paraId="18A91C0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1）查看平台各应用的消息和通知</w:t>
            </w:r>
            <w:r>
              <w:rPr>
                <w:rFonts w:hint="eastAsia" w:ascii="仿宋_GB2312" w:hAnsi="仿宋" w:eastAsia="仿宋_GB2312" w:cs="仿宋_GB2312"/>
                <w:color w:val="auto"/>
                <w:sz w:val="24"/>
                <w:szCs w:val="21"/>
                <w:highlight w:val="none"/>
                <w:lang w:eastAsia="zh-CN"/>
              </w:rPr>
              <w:t>；</w:t>
            </w:r>
          </w:p>
          <w:p w14:paraId="226B82E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2）查看和编辑账户信息、修改账户密码</w:t>
            </w:r>
            <w:r>
              <w:rPr>
                <w:rFonts w:hint="eastAsia" w:ascii="仿宋_GB2312" w:hAnsi="仿宋" w:eastAsia="仿宋_GB2312" w:cs="仿宋_GB2312"/>
                <w:color w:val="auto"/>
                <w:sz w:val="24"/>
                <w:szCs w:val="21"/>
                <w:highlight w:val="none"/>
                <w:lang w:eastAsia="zh-CN"/>
              </w:rPr>
              <w:t>；</w:t>
            </w:r>
          </w:p>
          <w:p w14:paraId="65E85C4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3）查看我的班级信息</w:t>
            </w:r>
            <w:r>
              <w:rPr>
                <w:rFonts w:hint="eastAsia" w:ascii="仿宋_GB2312" w:hAnsi="仿宋" w:eastAsia="仿宋_GB2312" w:cs="仿宋_GB2312"/>
                <w:color w:val="auto"/>
                <w:sz w:val="24"/>
                <w:szCs w:val="21"/>
                <w:highlight w:val="none"/>
                <w:lang w:eastAsia="zh-CN"/>
              </w:rPr>
              <w:t>；</w:t>
            </w:r>
          </w:p>
          <w:p w14:paraId="38AC156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4）可通过验证码加入新班级</w:t>
            </w:r>
            <w:r>
              <w:rPr>
                <w:rFonts w:hint="eastAsia" w:ascii="仿宋_GB2312" w:hAnsi="仿宋" w:eastAsia="仿宋_GB2312" w:cs="仿宋_GB2312"/>
                <w:color w:val="auto"/>
                <w:sz w:val="24"/>
                <w:szCs w:val="21"/>
                <w:highlight w:val="none"/>
                <w:lang w:eastAsia="zh-CN"/>
              </w:rPr>
              <w:t>；</w:t>
            </w:r>
          </w:p>
          <w:p w14:paraId="66C0272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5）我的统计模块</w:t>
            </w:r>
            <w:r>
              <w:rPr>
                <w:rFonts w:hint="eastAsia" w:ascii="仿宋_GB2312" w:hAnsi="仿宋" w:eastAsia="仿宋_GB2312" w:cs="仿宋_GB2312"/>
                <w:color w:val="auto"/>
                <w:sz w:val="24"/>
                <w:szCs w:val="21"/>
                <w:highlight w:val="none"/>
                <w:lang w:eastAsia="zh-CN"/>
              </w:rPr>
              <w:t>；</w:t>
            </w:r>
          </w:p>
          <w:p w14:paraId="04704E0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6）查看所有应用系统中的学习成绩</w:t>
            </w:r>
            <w:r>
              <w:rPr>
                <w:rFonts w:hint="eastAsia" w:ascii="仿宋_GB2312" w:hAnsi="仿宋" w:eastAsia="仿宋_GB2312" w:cs="仿宋_GB2312"/>
                <w:color w:val="auto"/>
                <w:sz w:val="24"/>
                <w:szCs w:val="21"/>
                <w:highlight w:val="none"/>
                <w:lang w:eastAsia="zh-CN"/>
              </w:rPr>
              <w:t>；</w:t>
            </w:r>
          </w:p>
          <w:p w14:paraId="0147F6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5.系统支持站内消息服务，针对不同用户进行分级授权分级管理，级别可分配系统的不同角色，发送对象可以发送至不同应用、班级以及学生个人；面向系统层面可以向学生发送通知消息，也可以发送普通消息</w:t>
            </w:r>
            <w:r>
              <w:rPr>
                <w:rFonts w:hint="eastAsia" w:ascii="仿宋_GB2312" w:hAnsi="仿宋" w:eastAsia="仿宋_GB2312" w:cs="仿宋_GB2312"/>
                <w:color w:val="auto"/>
                <w:sz w:val="24"/>
                <w:szCs w:val="21"/>
                <w:highlight w:val="none"/>
                <w:lang w:eastAsia="zh-CN"/>
              </w:rPr>
              <w:t>；</w:t>
            </w:r>
          </w:p>
          <w:p w14:paraId="707AF7C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二、备课功能</w:t>
            </w:r>
          </w:p>
          <w:p w14:paraId="13EC164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1.应支持教师课前创建课堂功能，创建时可选择邀请学生加入课堂、支持对已加入的学生进行管理、支持对课堂信息进行编辑的功能、支持管理或删除课堂的功能</w:t>
            </w:r>
            <w:r>
              <w:rPr>
                <w:rFonts w:hint="eastAsia" w:ascii="仿宋_GB2312" w:hAnsi="仿宋" w:eastAsia="仿宋_GB2312" w:cs="仿宋_GB2312"/>
                <w:color w:val="auto"/>
                <w:sz w:val="24"/>
                <w:szCs w:val="21"/>
                <w:highlight w:val="none"/>
                <w:lang w:eastAsia="zh-CN"/>
              </w:rPr>
              <w:t>；</w:t>
            </w:r>
          </w:p>
          <w:p w14:paraId="4C6D5B4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2.应支持教师备课过程中上传课件、录入单题、课堂测验的功能需求</w:t>
            </w:r>
            <w:r>
              <w:rPr>
                <w:rFonts w:hint="eastAsia" w:ascii="仿宋_GB2312" w:hAnsi="仿宋" w:eastAsia="仿宋_GB2312" w:cs="仿宋_GB2312"/>
                <w:color w:val="auto"/>
                <w:sz w:val="24"/>
                <w:szCs w:val="21"/>
                <w:highlight w:val="none"/>
                <w:lang w:eastAsia="zh-CN"/>
              </w:rPr>
              <w:t>；</w:t>
            </w:r>
          </w:p>
          <w:p w14:paraId="4299F9C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3.课件：应支持教师上传教学文档格式包括但不限于DOC、DOCX、PPT、PPTX、XLS、WPS、PDF等</w:t>
            </w:r>
            <w:r>
              <w:rPr>
                <w:rFonts w:hint="eastAsia" w:ascii="仿宋_GB2312" w:hAnsi="仿宋" w:eastAsia="仿宋_GB2312" w:cs="仿宋_GB2312"/>
                <w:color w:val="auto"/>
                <w:sz w:val="24"/>
                <w:szCs w:val="21"/>
                <w:highlight w:val="none"/>
                <w:lang w:eastAsia="zh-CN"/>
              </w:rPr>
              <w:t>；</w:t>
            </w:r>
          </w:p>
          <w:p w14:paraId="6669B48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4.单题：应支持教师录入单选题、多选题、判断题等常见测验题型，还支持设置答题时长、标准答案、答案解析等内容</w:t>
            </w:r>
            <w:r>
              <w:rPr>
                <w:rFonts w:hint="eastAsia" w:ascii="仿宋_GB2312" w:hAnsi="仿宋" w:eastAsia="仿宋_GB2312" w:cs="仿宋_GB2312"/>
                <w:color w:val="auto"/>
                <w:sz w:val="24"/>
                <w:szCs w:val="21"/>
                <w:highlight w:val="none"/>
                <w:lang w:eastAsia="zh-CN"/>
              </w:rPr>
              <w:t>；</w:t>
            </w:r>
          </w:p>
          <w:p w14:paraId="29A6CED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5.课堂测验：应支持教师选择录入的单题进行组成测验进行发布</w:t>
            </w:r>
            <w:r>
              <w:rPr>
                <w:rFonts w:hint="eastAsia" w:ascii="仿宋_GB2312" w:hAnsi="仿宋" w:eastAsia="仿宋_GB2312" w:cs="仿宋_GB2312"/>
                <w:color w:val="auto"/>
                <w:sz w:val="24"/>
                <w:szCs w:val="21"/>
                <w:highlight w:val="none"/>
                <w:lang w:eastAsia="zh-CN"/>
              </w:rPr>
              <w:t>；</w:t>
            </w:r>
          </w:p>
          <w:p w14:paraId="2026FA0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三、课上功能</w:t>
            </w:r>
          </w:p>
          <w:p w14:paraId="23E7830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系统应具备教师快捷工具栏功能，教师课上所有互动均可通过工具栏快速调用；工具栏支持教师PC端和APP端，当教师课上走动到学生中间教学时可以使用时候APP端进行操控，APP端所有互动均可通过工具栏快速调用，操控功能同步在PC端同屏显示</w:t>
            </w:r>
            <w:r>
              <w:rPr>
                <w:rFonts w:hint="eastAsia" w:ascii="仿宋_GB2312" w:hAnsi="仿宋" w:eastAsia="仿宋_GB2312" w:cs="仿宋_GB2312"/>
                <w:color w:val="auto"/>
                <w:sz w:val="24"/>
                <w:szCs w:val="21"/>
                <w:highlight w:val="none"/>
                <w:lang w:eastAsia="zh-CN"/>
              </w:rPr>
              <w:t>；</w:t>
            </w:r>
          </w:p>
          <w:p w14:paraId="5EB8E96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2.签到：支持二维码签到模式</w:t>
            </w:r>
            <w:r>
              <w:rPr>
                <w:rFonts w:hint="eastAsia" w:ascii="仿宋_GB2312" w:hAnsi="仿宋" w:eastAsia="仿宋_GB2312" w:cs="仿宋_GB2312"/>
                <w:color w:val="auto"/>
                <w:sz w:val="24"/>
                <w:szCs w:val="21"/>
                <w:highlight w:val="none"/>
                <w:lang w:eastAsia="zh-CN"/>
              </w:rPr>
              <w:t>；</w:t>
            </w:r>
          </w:p>
          <w:p w14:paraId="4620D2E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2.1应支持签到结果实时可视化展示（可显示学生头像、姓名等）</w:t>
            </w:r>
            <w:r>
              <w:rPr>
                <w:rFonts w:hint="eastAsia" w:ascii="仿宋_GB2312" w:hAnsi="仿宋" w:eastAsia="仿宋_GB2312" w:cs="仿宋_GB2312"/>
                <w:color w:val="auto"/>
                <w:sz w:val="24"/>
                <w:szCs w:val="21"/>
                <w:highlight w:val="none"/>
                <w:lang w:eastAsia="zh-CN"/>
              </w:rPr>
              <w:t>；</w:t>
            </w:r>
          </w:p>
          <w:p w14:paraId="50164DC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2.2应支持签到过程中，教师可根据实际实时修改签到状态，可实时查看已签到学生名单、未签到名单</w:t>
            </w:r>
            <w:r>
              <w:rPr>
                <w:rFonts w:hint="eastAsia" w:ascii="仿宋_GB2312" w:hAnsi="仿宋" w:eastAsia="仿宋_GB2312" w:cs="仿宋_GB2312"/>
                <w:color w:val="auto"/>
                <w:sz w:val="24"/>
                <w:szCs w:val="21"/>
                <w:highlight w:val="none"/>
                <w:lang w:eastAsia="zh-CN"/>
              </w:rPr>
              <w:t>；</w:t>
            </w:r>
          </w:p>
          <w:p w14:paraId="156214F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2.3应支持签到结束后可对签到结果进行修改，并可在成绩模块中导出</w:t>
            </w:r>
            <w:r>
              <w:rPr>
                <w:rFonts w:hint="eastAsia" w:ascii="仿宋_GB2312" w:hAnsi="仿宋" w:eastAsia="仿宋_GB2312" w:cs="仿宋_GB2312"/>
                <w:color w:val="auto"/>
                <w:sz w:val="24"/>
                <w:szCs w:val="21"/>
                <w:highlight w:val="none"/>
                <w:lang w:eastAsia="zh-CN"/>
              </w:rPr>
              <w:t>；</w:t>
            </w:r>
          </w:p>
          <w:p w14:paraId="2430A8A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3.测验：教师可通过PC端和APP端开启测验发起答题互动功能，支持学生通过APP端或微信公众号端进行答题；</w:t>
            </w:r>
          </w:p>
          <w:p w14:paraId="58BC853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3.1支持教师开启测验之前设置限时答题或不限时答题，选择限时答题时可设置答题时长</w:t>
            </w:r>
            <w:r>
              <w:rPr>
                <w:rFonts w:hint="eastAsia" w:ascii="仿宋_GB2312" w:hAnsi="仿宋" w:eastAsia="仿宋_GB2312" w:cs="仿宋_GB2312"/>
                <w:color w:val="auto"/>
                <w:sz w:val="24"/>
                <w:szCs w:val="21"/>
                <w:highlight w:val="none"/>
                <w:lang w:eastAsia="zh-CN"/>
              </w:rPr>
              <w:t>；</w:t>
            </w:r>
          </w:p>
          <w:p w14:paraId="49432DF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3.2支持教师开启测验后，学生APP端或微信公众号端自动提示测验信息</w:t>
            </w:r>
            <w:r>
              <w:rPr>
                <w:rFonts w:hint="eastAsia" w:ascii="仿宋_GB2312" w:hAnsi="仿宋" w:eastAsia="仿宋_GB2312" w:cs="仿宋_GB2312"/>
                <w:color w:val="auto"/>
                <w:sz w:val="24"/>
                <w:szCs w:val="21"/>
                <w:highlight w:val="none"/>
                <w:lang w:eastAsia="zh-CN"/>
              </w:rPr>
              <w:t>；</w:t>
            </w:r>
          </w:p>
          <w:p w14:paraId="1C1E1DF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3.3支持学生答题情况实时通过柱状图可视化展示，包括已答、未答学生名单，答案分布</w:t>
            </w:r>
            <w:r>
              <w:rPr>
                <w:rFonts w:hint="eastAsia" w:ascii="仿宋_GB2312" w:hAnsi="仿宋" w:eastAsia="仿宋_GB2312" w:cs="仿宋_GB2312"/>
                <w:color w:val="auto"/>
                <w:sz w:val="24"/>
                <w:szCs w:val="21"/>
                <w:highlight w:val="none"/>
                <w:lang w:eastAsia="zh-CN"/>
              </w:rPr>
              <w:t>；</w:t>
            </w:r>
          </w:p>
          <w:p w14:paraId="6CFDD51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3.4当答题时间不足时，支持教师手动对答题时间进行延长</w:t>
            </w:r>
            <w:r>
              <w:rPr>
                <w:rFonts w:hint="eastAsia" w:ascii="仿宋_GB2312" w:hAnsi="仿宋" w:eastAsia="仿宋_GB2312" w:cs="仿宋_GB2312"/>
                <w:color w:val="auto"/>
                <w:sz w:val="24"/>
                <w:szCs w:val="21"/>
                <w:highlight w:val="none"/>
                <w:lang w:eastAsia="zh-CN"/>
              </w:rPr>
              <w:t>；</w:t>
            </w:r>
          </w:p>
          <w:p w14:paraId="3771EBD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3.5支持已结束的答题继续开启答题</w:t>
            </w:r>
            <w:r>
              <w:rPr>
                <w:rFonts w:hint="eastAsia" w:ascii="仿宋_GB2312" w:hAnsi="仿宋" w:eastAsia="仿宋_GB2312" w:cs="仿宋_GB2312"/>
                <w:color w:val="auto"/>
                <w:sz w:val="24"/>
                <w:szCs w:val="21"/>
                <w:highlight w:val="none"/>
                <w:lang w:eastAsia="zh-CN"/>
              </w:rPr>
              <w:t>；</w:t>
            </w:r>
          </w:p>
          <w:p w14:paraId="727886A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3.6支持给答题结束的学生进行加分表扬，并可在成绩模块中导出</w:t>
            </w:r>
            <w:r>
              <w:rPr>
                <w:rFonts w:hint="eastAsia" w:ascii="仿宋_GB2312" w:hAnsi="仿宋" w:eastAsia="仿宋_GB2312" w:cs="仿宋_GB2312"/>
                <w:color w:val="auto"/>
                <w:sz w:val="24"/>
                <w:szCs w:val="21"/>
                <w:highlight w:val="none"/>
                <w:lang w:eastAsia="zh-CN"/>
              </w:rPr>
              <w:t>；</w:t>
            </w:r>
          </w:p>
          <w:p w14:paraId="244E01D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 随机点人：支持教师通过PC端和APP端开启随机点人回答问题的功能</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界面支持呈现学生头像，开启后学生头像随机点亮，教师随机选择确定学生回答问题，回答结束后教师可对学生作答表现进行加分评价</w:t>
            </w:r>
            <w:r>
              <w:rPr>
                <w:rFonts w:hint="eastAsia" w:ascii="仿宋_GB2312" w:hAnsi="仿宋" w:eastAsia="仿宋_GB2312" w:cs="仿宋_GB2312"/>
                <w:color w:val="auto"/>
                <w:sz w:val="24"/>
                <w:szCs w:val="21"/>
                <w:highlight w:val="none"/>
                <w:lang w:eastAsia="zh-CN"/>
              </w:rPr>
              <w:t>；</w:t>
            </w:r>
          </w:p>
          <w:p w14:paraId="12A3E71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5.讨论：支持教师通过PC端和APP端创建一个讨论主题展开线上讨论，学生通过APP端或微信公众号端发送文字参与讨论，讨论内容支持词云样式展示</w:t>
            </w:r>
            <w:r>
              <w:rPr>
                <w:rFonts w:hint="eastAsia" w:ascii="仿宋_GB2312" w:hAnsi="仿宋" w:eastAsia="仿宋_GB2312" w:cs="仿宋_GB2312"/>
                <w:color w:val="auto"/>
                <w:sz w:val="24"/>
                <w:szCs w:val="21"/>
                <w:highlight w:val="none"/>
                <w:lang w:eastAsia="zh-CN"/>
              </w:rPr>
              <w:t>；</w:t>
            </w:r>
          </w:p>
          <w:p w14:paraId="49F899C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6.课件：支持教师通过PC端和APP端打开备课上传的课件或资料进行授课，同时支持在没有备课的情况下，教师灵活应用打开U盘或电脑内、进行授课的使用需求</w:t>
            </w:r>
            <w:r>
              <w:rPr>
                <w:rFonts w:hint="eastAsia" w:ascii="仿宋_GB2312" w:hAnsi="仿宋" w:eastAsia="仿宋_GB2312" w:cs="仿宋_GB2312"/>
                <w:color w:val="auto"/>
                <w:sz w:val="24"/>
                <w:szCs w:val="21"/>
                <w:highlight w:val="none"/>
                <w:lang w:eastAsia="zh-CN"/>
              </w:rPr>
              <w:t>；</w:t>
            </w:r>
          </w:p>
          <w:p w14:paraId="26B810F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7.快测：支持教师通过PC端和APP端在课堂上发起快测的功能，支持自动截图做为题目，可一键发布答题；支持快速一键发起单选题，多选题，判断题答题，并可设置限时或不限时答题；支持查看答题数据统计，查看每个选项答题名单，未提交名单</w:t>
            </w:r>
            <w:r>
              <w:rPr>
                <w:rFonts w:hint="eastAsia" w:ascii="仿宋_GB2312" w:hAnsi="仿宋" w:eastAsia="仿宋_GB2312" w:cs="仿宋_GB2312"/>
                <w:color w:val="auto"/>
                <w:sz w:val="24"/>
                <w:szCs w:val="21"/>
                <w:highlight w:val="none"/>
                <w:lang w:eastAsia="zh-CN"/>
              </w:rPr>
              <w:t>；</w:t>
            </w:r>
          </w:p>
          <w:p w14:paraId="77E23C6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8.支持教师在课堂上通过工具栏调用白板工具</w:t>
            </w:r>
            <w:r>
              <w:rPr>
                <w:rFonts w:hint="eastAsia" w:ascii="仿宋_GB2312" w:hAnsi="仿宋" w:eastAsia="仿宋_GB2312" w:cs="仿宋_GB2312"/>
                <w:color w:val="auto"/>
                <w:sz w:val="24"/>
                <w:szCs w:val="21"/>
                <w:highlight w:val="none"/>
                <w:lang w:eastAsia="zh-CN"/>
              </w:rPr>
              <w:t>；</w:t>
            </w:r>
          </w:p>
          <w:p w14:paraId="5A29E9A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9.为方便教师移动授课的需求，支持根据学校需求付费开通语音指令功能</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语音指令控制支持教师下达语音指令后，系统自动开启相应功能，包括但不限于打开签到、随机选人、白板、录制微课等</w:t>
            </w:r>
            <w:r>
              <w:rPr>
                <w:rFonts w:hint="eastAsia" w:ascii="仿宋_GB2312" w:hAnsi="仿宋" w:eastAsia="仿宋_GB2312" w:cs="仿宋_GB2312"/>
                <w:color w:val="auto"/>
                <w:sz w:val="24"/>
                <w:szCs w:val="21"/>
                <w:highlight w:val="none"/>
                <w:lang w:eastAsia="zh-CN"/>
              </w:rPr>
              <w:t>；</w:t>
            </w:r>
          </w:p>
          <w:p w14:paraId="484863E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10.支持教师使用APP端进行完整的移动授课的功能</w:t>
            </w:r>
            <w:r>
              <w:rPr>
                <w:rFonts w:hint="eastAsia" w:ascii="仿宋_GB2312" w:hAnsi="仿宋" w:eastAsia="仿宋_GB2312" w:cs="仿宋_GB2312"/>
                <w:color w:val="auto"/>
                <w:sz w:val="24"/>
                <w:szCs w:val="21"/>
                <w:highlight w:val="none"/>
                <w:lang w:eastAsia="zh-CN"/>
              </w:rPr>
              <w:t>；</w:t>
            </w:r>
          </w:p>
          <w:p w14:paraId="5DB8B51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10.1支持教师操控PPT课件翻页、远程控制，教师操作可同步在教室屏幕上展现</w:t>
            </w:r>
            <w:r>
              <w:rPr>
                <w:rFonts w:hint="eastAsia" w:ascii="仿宋_GB2312" w:hAnsi="仿宋" w:eastAsia="仿宋_GB2312" w:cs="仿宋_GB2312"/>
                <w:color w:val="auto"/>
                <w:sz w:val="24"/>
                <w:szCs w:val="21"/>
                <w:highlight w:val="none"/>
                <w:lang w:eastAsia="zh-CN"/>
              </w:rPr>
              <w:t>；</w:t>
            </w:r>
          </w:p>
          <w:p w14:paraId="3B924E7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10.3支持教师发起签到功能，学签到情况及数据同步在教室屏幕上展现</w:t>
            </w:r>
            <w:r>
              <w:rPr>
                <w:rFonts w:hint="eastAsia" w:ascii="仿宋_GB2312" w:hAnsi="仿宋" w:eastAsia="仿宋_GB2312" w:cs="仿宋_GB2312"/>
                <w:color w:val="auto"/>
                <w:sz w:val="24"/>
                <w:szCs w:val="21"/>
                <w:highlight w:val="none"/>
                <w:lang w:eastAsia="zh-CN"/>
              </w:rPr>
              <w:t>；</w:t>
            </w:r>
          </w:p>
          <w:p w14:paraId="41408AB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10.4支持教师发起随机选人功能，选人实时情况及数据同步在教室屏幕上展现</w:t>
            </w:r>
            <w:r>
              <w:rPr>
                <w:rFonts w:hint="eastAsia" w:ascii="仿宋_GB2312" w:hAnsi="仿宋" w:eastAsia="仿宋_GB2312" w:cs="仿宋_GB2312"/>
                <w:color w:val="auto"/>
                <w:sz w:val="24"/>
                <w:szCs w:val="21"/>
                <w:highlight w:val="none"/>
                <w:lang w:eastAsia="zh-CN"/>
              </w:rPr>
              <w:t>；</w:t>
            </w:r>
          </w:p>
          <w:p w14:paraId="10033872">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四、课后功能</w:t>
            </w:r>
          </w:p>
          <w:p w14:paraId="388FF59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1.作业：支持教师发布线上作业，设置提交截止时间，添加作业附件</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教师可对作业进行批改，打回；学生可通过手机提交作业</w:t>
            </w:r>
            <w:r>
              <w:rPr>
                <w:rFonts w:hint="eastAsia" w:ascii="仿宋_GB2312" w:hAnsi="仿宋" w:eastAsia="仿宋_GB2312" w:cs="仿宋_GB2312"/>
                <w:color w:val="auto"/>
                <w:sz w:val="24"/>
                <w:szCs w:val="21"/>
                <w:highlight w:val="none"/>
                <w:lang w:eastAsia="zh-CN"/>
              </w:rPr>
              <w:t>；</w:t>
            </w:r>
          </w:p>
          <w:p w14:paraId="48EFC7E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2.课堂结束后可生成以课堂时间线为轨迹的的授课过程记录，支持课后查看课堂中关键时间点环节对应的课件、微课、讨论、测验等；支持学生可以通过手机随时进行学习</w:t>
            </w:r>
            <w:r>
              <w:rPr>
                <w:rFonts w:hint="eastAsia" w:ascii="仿宋_GB2312" w:hAnsi="仿宋" w:eastAsia="仿宋_GB2312" w:cs="仿宋_GB2312"/>
                <w:color w:val="auto"/>
                <w:sz w:val="24"/>
                <w:szCs w:val="21"/>
                <w:highlight w:val="none"/>
                <w:lang w:eastAsia="zh-CN"/>
              </w:rPr>
              <w:t>；</w:t>
            </w:r>
          </w:p>
          <w:p w14:paraId="0CD7E39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支持教师针对个人或小组布置课后作业，可调取课程材料、资源库资源、微课资源和本地上传等进行布置，教师还可设置作业的起止时间，可设置评分方式（教师评分、学生互评等），教师可手动打分、语音转文字进行评价等</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同时支持作业存为模板，可以二次发布课后作业:学生可查看教师布置的作业内容，并根据作业要求完成作业，可以文字、语音输入或上传文件的方式提交作业，在作业提交截止前可多次提交作业，支持作业文字和语音评论</w:t>
            </w:r>
            <w:r>
              <w:rPr>
                <w:rFonts w:hint="eastAsia" w:ascii="仿宋_GB2312" w:hAnsi="仿宋" w:eastAsia="仿宋_GB2312" w:cs="仿宋_GB2312"/>
                <w:color w:val="auto"/>
                <w:sz w:val="24"/>
                <w:szCs w:val="21"/>
                <w:highlight w:val="none"/>
                <w:lang w:eastAsia="zh-CN"/>
              </w:rPr>
              <w:t>；</w:t>
            </w:r>
          </w:p>
          <w:p w14:paraId="04925F0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4.课堂结束后可生成对应的一课一报告，教师可以以时间线方式，适时查看上课完整记录，包括上课时间、上课时长、出勤率、讨论活跃度、测验正确率等进行课堂回顾与课堂反思</w:t>
            </w:r>
            <w:r>
              <w:rPr>
                <w:rFonts w:hint="eastAsia" w:ascii="仿宋_GB2312" w:hAnsi="仿宋" w:eastAsia="仿宋_GB2312" w:cs="仿宋_GB2312"/>
                <w:color w:val="auto"/>
                <w:sz w:val="24"/>
                <w:szCs w:val="21"/>
                <w:highlight w:val="none"/>
                <w:lang w:eastAsia="zh-CN"/>
              </w:rPr>
              <w:t>；</w:t>
            </w:r>
          </w:p>
          <w:p w14:paraId="07D979F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五、平时成绩管理</w:t>
            </w:r>
          </w:p>
          <w:p w14:paraId="6E05C92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1.支持可视化课堂成绩管理界面，教师可实时查看学生历次参加答题，考勤等成绩的统计分析数据</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 xml:space="preserve"> </w:t>
            </w:r>
          </w:p>
          <w:p w14:paraId="30E00EF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2.支持教师对测验分数进行个性化设置，支持一键导出测验、考勤成绩统计表</w:t>
            </w:r>
            <w:r>
              <w:rPr>
                <w:rFonts w:hint="eastAsia" w:ascii="仿宋_GB2312" w:hAnsi="仿宋" w:eastAsia="仿宋_GB2312" w:cs="仿宋_GB2312"/>
                <w:color w:val="auto"/>
                <w:sz w:val="24"/>
                <w:szCs w:val="21"/>
                <w:highlight w:val="none"/>
                <w:lang w:eastAsia="zh-CN"/>
              </w:rPr>
              <w:t>；</w:t>
            </w:r>
          </w:p>
          <w:p w14:paraId="6ED7FD0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六、微课功能</w:t>
            </w:r>
          </w:p>
          <w:p w14:paraId="238C8EF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核心转写引擎服务</w:t>
            </w:r>
          </w:p>
          <w:p w14:paraId="31495E57">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b/>
                <w:bCs/>
                <w:color w:val="auto"/>
                <w:sz w:val="24"/>
                <w:szCs w:val="21"/>
                <w:highlight w:val="none"/>
                <w:lang w:eastAsia="zh-CN"/>
              </w:rPr>
            </w:pPr>
            <w:r>
              <w:rPr>
                <w:rFonts w:hint="eastAsia" w:ascii="仿宋_GB2312" w:hAnsi="仿宋" w:eastAsia="仿宋_GB2312" w:cs="仿宋_GB2312"/>
                <w:color w:val="auto"/>
                <w:sz w:val="24"/>
                <w:szCs w:val="21"/>
                <w:highlight w:val="none"/>
              </w:rPr>
              <w:t>1.1 支持汉语、英语、俄语的连续语音识别与转写</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支持汉语与英语、俄语实时互译</w:t>
            </w:r>
            <w:r>
              <w:rPr>
                <w:rFonts w:hint="eastAsia" w:ascii="仿宋_GB2312" w:hAnsi="仿宋" w:eastAsia="仿宋_GB2312" w:cs="仿宋_GB2312"/>
                <w:color w:val="auto"/>
                <w:sz w:val="24"/>
                <w:szCs w:val="21"/>
                <w:highlight w:val="none"/>
                <w:lang w:eastAsia="zh-CN"/>
              </w:rPr>
              <w:t>；</w:t>
            </w:r>
          </w:p>
          <w:p w14:paraId="4A5E0FBC">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b/>
                <w:bCs/>
                <w:color w:val="auto"/>
                <w:sz w:val="24"/>
                <w:szCs w:val="21"/>
                <w:highlight w:val="none"/>
                <w:lang w:eastAsia="zh-CN"/>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1.2 中文转写准确率不低于93%，英文转写准确率不低于90%</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 xml:space="preserve"> 具有文本顺滑、标点识别、自然语言处理、语气词过滤能力，能够让识别结果更加准确，语气词和重复词自动过滤，以保证文稿的规范性</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系统转写翻译交互响应时间需≤200ms</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（需提供国家认可的第三方检测机构出具的检测报告复印件加盖投标人公章）</w:t>
            </w:r>
          </w:p>
          <w:p w14:paraId="59863D70">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字幕功能</w:t>
            </w:r>
          </w:p>
          <w:p w14:paraId="00759F3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2.1 支持开始录制前切换转写的字幕语种，转写字幕支持选择切换成中文、英文、俄文、中英混合的语种识别模式；</w:t>
            </w:r>
          </w:p>
          <w:p w14:paraId="284B8FA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2.2 支持在开始录制前设置翻译字幕语种，当转写字幕为中文、中英混合时翻译字幕可以选择英文、俄文语种</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转写字幕为英文、俄文的时候翻译字幕可以选择中文的语种；</w:t>
            </w:r>
          </w:p>
          <w:p w14:paraId="427D50B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2.3 支持选择是否需要上屏展示，支持转写、翻译字幕单独或者同时上屏展示</w:t>
            </w:r>
            <w:r>
              <w:rPr>
                <w:rFonts w:hint="eastAsia" w:ascii="仿宋_GB2312" w:hAnsi="仿宋" w:eastAsia="仿宋_GB2312" w:cs="仿宋_GB2312"/>
                <w:color w:val="auto"/>
                <w:sz w:val="24"/>
                <w:szCs w:val="21"/>
                <w:highlight w:val="none"/>
                <w:lang w:eastAsia="zh-CN"/>
              </w:rPr>
              <w:t>；</w:t>
            </w:r>
          </w:p>
          <w:p w14:paraId="72887B5A">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系统录制功能</w:t>
            </w:r>
          </w:p>
          <w:p w14:paraId="148147C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3.1 支持教师录制的课程独立存储于教师个人账号下</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不同账号间的数据进行隔离，保证数据安全性和私密性</w:t>
            </w:r>
            <w:r>
              <w:rPr>
                <w:rFonts w:hint="eastAsia" w:ascii="仿宋_GB2312" w:hAnsi="仿宋" w:eastAsia="仿宋_GB2312" w:cs="仿宋_GB2312"/>
                <w:color w:val="auto"/>
                <w:sz w:val="24"/>
                <w:szCs w:val="21"/>
                <w:highlight w:val="none"/>
                <w:lang w:eastAsia="zh-CN"/>
              </w:rPr>
              <w:t>；</w:t>
            </w:r>
          </w:p>
          <w:p w14:paraId="59FC25F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3.2 系统应支持录制开始后，显示3秒倒计时，避免无效画面被录制</w:t>
            </w:r>
            <w:r>
              <w:rPr>
                <w:rFonts w:hint="eastAsia" w:ascii="仿宋_GB2312" w:hAnsi="仿宋" w:eastAsia="仿宋_GB2312" w:cs="仿宋_GB2312"/>
                <w:color w:val="auto"/>
                <w:sz w:val="24"/>
                <w:szCs w:val="21"/>
                <w:highlight w:val="none"/>
                <w:lang w:eastAsia="zh-CN"/>
              </w:rPr>
              <w:t>；</w:t>
            </w:r>
          </w:p>
          <w:p w14:paraId="684F110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3.3 支持用户通过软件一键开启或结束微课录制</w:t>
            </w:r>
            <w:r>
              <w:rPr>
                <w:rFonts w:hint="eastAsia" w:ascii="仿宋_GB2312" w:hAnsi="仿宋" w:eastAsia="仿宋_GB2312" w:cs="仿宋_GB2312"/>
                <w:color w:val="auto"/>
                <w:sz w:val="24"/>
                <w:szCs w:val="21"/>
                <w:highlight w:val="none"/>
                <w:lang w:eastAsia="zh-CN"/>
              </w:rPr>
              <w:t>；</w:t>
            </w:r>
          </w:p>
          <w:p w14:paraId="3BA6448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3.4 支持同时录制系统和麦克风声音，也可以选择单独录制麦克风或者系统声音</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 xml:space="preserve"> </w:t>
            </w:r>
          </w:p>
          <w:p w14:paraId="31EB5FB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3.5 支持根据场景需要灵活设置字幕条的位置、宽高、字幕条透明度、文字的字体、字幕条的显示/隐藏状态；支持全屏显示字幕</w:t>
            </w:r>
            <w:r>
              <w:rPr>
                <w:rFonts w:hint="eastAsia" w:ascii="仿宋_GB2312" w:hAnsi="仿宋" w:eastAsia="仿宋_GB2312" w:cs="仿宋_GB2312"/>
                <w:color w:val="auto"/>
                <w:sz w:val="24"/>
                <w:szCs w:val="21"/>
                <w:highlight w:val="none"/>
                <w:lang w:eastAsia="zh-CN"/>
              </w:rPr>
              <w:t>；</w:t>
            </w:r>
          </w:p>
          <w:p w14:paraId="1727630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3.6 支持结束课程录制时屏幕页面出现二维码，学生可扫码查看课程视频、教师口水稿及对应翻译内容</w:t>
            </w:r>
            <w:r>
              <w:rPr>
                <w:rFonts w:hint="eastAsia" w:ascii="仿宋_GB2312" w:hAnsi="仿宋" w:eastAsia="仿宋_GB2312" w:cs="仿宋_GB2312"/>
                <w:color w:val="auto"/>
                <w:sz w:val="24"/>
                <w:szCs w:val="21"/>
                <w:highlight w:val="none"/>
                <w:lang w:eastAsia="zh-CN"/>
              </w:rPr>
              <w:t>；</w:t>
            </w:r>
          </w:p>
          <w:p w14:paraId="4D17907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3.7 支持结束录制的课程自动上传至云端形成教师个人微课库，支持断点续传</w:t>
            </w:r>
            <w:r>
              <w:rPr>
                <w:rFonts w:hint="eastAsia" w:ascii="仿宋_GB2312" w:hAnsi="仿宋" w:eastAsia="仿宋_GB2312" w:cs="仿宋_GB2312"/>
                <w:color w:val="auto"/>
                <w:sz w:val="24"/>
                <w:szCs w:val="21"/>
                <w:highlight w:val="none"/>
                <w:lang w:eastAsia="zh-CN"/>
              </w:rPr>
              <w:t>；</w:t>
            </w:r>
          </w:p>
          <w:p w14:paraId="5B41727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3.8 支持微课分享教师可自主选择是否分享到学校、其他教师或公开链接</w:t>
            </w:r>
            <w:r>
              <w:rPr>
                <w:rFonts w:hint="eastAsia" w:ascii="仿宋_GB2312" w:hAnsi="仿宋" w:eastAsia="仿宋_GB2312" w:cs="仿宋_GB2312"/>
                <w:color w:val="auto"/>
                <w:sz w:val="24"/>
                <w:szCs w:val="21"/>
                <w:highlight w:val="none"/>
                <w:lang w:eastAsia="zh-CN"/>
              </w:rPr>
              <w:t>；</w:t>
            </w:r>
          </w:p>
          <w:p w14:paraId="773ADF10">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b/>
                <w:bCs/>
                <w:color w:val="auto"/>
                <w:sz w:val="24"/>
                <w:szCs w:val="21"/>
                <w:highlight w:val="none"/>
                <w:lang w:eastAsia="zh-CN"/>
              </w:rPr>
            </w:pPr>
            <w:r>
              <w:rPr>
                <w:rFonts w:hint="eastAsia" w:ascii="仿宋_GB2312" w:hAnsi="仿宋" w:eastAsia="仿宋_GB2312" w:cs="仿宋_GB2312"/>
                <w:color w:val="auto"/>
                <w:sz w:val="24"/>
                <w:szCs w:val="21"/>
                <w:highlight w:val="none"/>
              </w:rPr>
              <w:t>3.9 支持实录课程中自动提取出转写文字关键词并形成课程关键词展示在字幕区域</w:t>
            </w:r>
            <w:r>
              <w:rPr>
                <w:rFonts w:hint="eastAsia" w:ascii="仿宋_GB2312" w:hAnsi="仿宋" w:eastAsia="仿宋_GB2312" w:cs="仿宋_GB2312"/>
                <w:color w:val="auto"/>
                <w:sz w:val="24"/>
                <w:szCs w:val="21"/>
                <w:highlight w:val="none"/>
                <w:lang w:eastAsia="zh-CN"/>
              </w:rPr>
              <w:t>；</w:t>
            </w:r>
          </w:p>
          <w:p w14:paraId="35DA747F">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3.10 支持实录课程中在同一页面展示实录视频+文本（教师口水稿）+关键帧，支持通过搜索框输入文字的形式进行定位搜索；点击文本区域、关键帧、关键要点标识等方式快速精准定位对应视频内容</w:t>
            </w:r>
            <w:r>
              <w:rPr>
                <w:rFonts w:hint="eastAsia" w:ascii="仿宋_GB2312" w:hAnsi="仿宋" w:eastAsia="仿宋_GB2312" w:cs="仿宋_GB2312"/>
                <w:color w:val="auto"/>
                <w:sz w:val="24"/>
                <w:szCs w:val="21"/>
                <w:highlight w:val="none"/>
                <w:lang w:eastAsia="zh-CN"/>
              </w:rPr>
              <w:t>；</w:t>
            </w:r>
          </w:p>
          <w:p w14:paraId="52E260D7">
            <w:pPr>
              <w:keepNext w:val="0"/>
              <w:keepLines w:val="0"/>
              <w:pageBreakBefore w:val="0"/>
              <w:widowControl/>
              <w:kinsoku/>
              <w:wordWrap/>
              <w:overflowPunct/>
              <w:topLinePunct w:val="0"/>
              <w:autoSpaceDE/>
              <w:autoSpaceDN/>
              <w:bidi w:val="0"/>
              <w:adjustRightInd/>
              <w:snapToGrid/>
              <w:spacing w:line="360" w:lineRule="exact"/>
              <w:ind w:firstLine="240" w:firstLineChars="100"/>
              <w:textAlignment w:val="auto"/>
              <w:rPr>
                <w:rFonts w:hint="eastAsia" w:ascii="仿宋_GB2312" w:hAnsi="仿宋" w:eastAsia="仿宋_GB2312" w:cs="仿宋_GB2312"/>
                <w:b/>
                <w:bCs/>
                <w:color w:val="auto"/>
                <w:sz w:val="24"/>
                <w:szCs w:val="21"/>
                <w:highlight w:val="none"/>
                <w:lang w:eastAsia="zh-CN"/>
              </w:rPr>
            </w:pPr>
            <w:r>
              <w:rPr>
                <w:rFonts w:ascii="仿宋_GB2312" w:hAnsi="仿宋" w:eastAsia="仿宋_GB2312" w:cs="仿宋_GB2312"/>
                <w:color w:val="auto"/>
                <w:sz w:val="24"/>
                <w:szCs w:val="21"/>
                <w:highlight w:val="none"/>
              </w:rPr>
              <w:t>▲</w:t>
            </w:r>
            <w:r>
              <w:rPr>
                <w:rFonts w:hint="eastAsia" w:ascii="仿宋_GB2312" w:hAnsi="仿宋" w:eastAsia="仿宋_GB2312" w:cs="仿宋_GB2312"/>
                <w:color w:val="auto"/>
                <w:sz w:val="24"/>
                <w:szCs w:val="21"/>
                <w:highlight w:val="none"/>
              </w:rPr>
              <w:t>3.11 系统支持通过图片智能比对技术，对教师任意授课内容（包括PPT、WORD、视频等）的关键帧的自动提取</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关键帧检出率≥90%</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b/>
                <w:bCs/>
                <w:color w:val="auto"/>
                <w:sz w:val="24"/>
                <w:szCs w:val="21"/>
                <w:highlight w:val="none"/>
                <w:lang w:val="en-US" w:eastAsia="zh-CN"/>
              </w:rPr>
              <w:t>（需提供国家认可的第三方检测机构出具的检测报告复印件加盖投标人公章）</w:t>
            </w:r>
          </w:p>
          <w:p w14:paraId="2EE39B7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系统设置功能</w:t>
            </w:r>
          </w:p>
          <w:p w14:paraId="191031D6">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4.1 字幕设置：支持选择字幕条展开或收起，选择字幕条是否置顶，字幕条展示语种（包括中文、英文、俄文、中英混合等），支持选择双语模式下字幕展示形式，选择字幕字体、字体大小、字体颜色，支持设置字幕条背景透明度</w:t>
            </w:r>
            <w:r>
              <w:rPr>
                <w:rFonts w:hint="eastAsia" w:ascii="仿宋_GB2312" w:hAnsi="仿宋" w:eastAsia="仿宋_GB2312" w:cs="仿宋_GB2312"/>
                <w:color w:val="auto"/>
                <w:sz w:val="24"/>
                <w:szCs w:val="21"/>
                <w:highlight w:val="none"/>
                <w:lang w:eastAsia="zh-CN"/>
              </w:rPr>
              <w:t>；</w:t>
            </w:r>
          </w:p>
          <w:p w14:paraId="07A57A6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4.2 录制设置：支持录制麦克风切换，选择画面源，支持全屏录制，录制视频质量（应包括流畅、标清、高清、超清）及转写模式（混音模式、麦克风模系统音模式；支持设置录制结束是否显示二维码，是否自动保存</w:t>
            </w:r>
            <w:r>
              <w:rPr>
                <w:rFonts w:hint="eastAsia" w:ascii="仿宋_GB2312" w:hAnsi="仿宋" w:eastAsia="仿宋_GB2312" w:cs="仿宋_GB2312"/>
                <w:color w:val="auto"/>
                <w:sz w:val="24"/>
                <w:szCs w:val="21"/>
                <w:highlight w:val="none"/>
                <w:lang w:eastAsia="zh-CN"/>
              </w:rPr>
              <w:t>；</w:t>
            </w:r>
          </w:p>
          <w:p w14:paraId="60146FF3">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4.3 专业词库：支持教师添加专业专有名词或同步系统课程知识库到专业词库，以提升转写识别准确率，添加后应立即生效</w:t>
            </w:r>
            <w:r>
              <w:rPr>
                <w:rFonts w:hint="eastAsia" w:ascii="仿宋_GB2312" w:hAnsi="仿宋" w:eastAsia="仿宋_GB2312" w:cs="仿宋_GB2312"/>
                <w:color w:val="auto"/>
                <w:sz w:val="24"/>
                <w:szCs w:val="21"/>
                <w:highlight w:val="none"/>
                <w:lang w:eastAsia="zh-CN"/>
              </w:rPr>
              <w:t>；</w:t>
            </w:r>
          </w:p>
          <w:p w14:paraId="0CD17C3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4.4 文件存储：应支持选择文件缓存位置、视频录制默认最长支持2小时录制，可以修改4小时或8小时录制时长</w:t>
            </w:r>
            <w:r>
              <w:rPr>
                <w:rFonts w:hint="eastAsia" w:ascii="仿宋_GB2312" w:hAnsi="仿宋" w:eastAsia="仿宋_GB2312" w:cs="仿宋_GB2312"/>
                <w:color w:val="auto"/>
                <w:sz w:val="24"/>
                <w:szCs w:val="21"/>
                <w:highlight w:val="none"/>
                <w:lang w:eastAsia="zh-CN"/>
              </w:rPr>
              <w:t>；</w:t>
            </w:r>
          </w:p>
          <w:p w14:paraId="4837195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个人微课管理</w:t>
            </w:r>
          </w:p>
          <w:p w14:paraId="03A46994">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5.1 支持教师将录制好的课程进行标签打点、视频重命名、移动到其他文件夹、删除微课等管理功能</w:t>
            </w:r>
            <w:r>
              <w:rPr>
                <w:rFonts w:hint="eastAsia" w:ascii="仿宋_GB2312" w:hAnsi="仿宋" w:eastAsia="仿宋_GB2312" w:cs="仿宋_GB2312"/>
                <w:color w:val="auto"/>
                <w:sz w:val="24"/>
                <w:szCs w:val="21"/>
                <w:highlight w:val="none"/>
                <w:lang w:eastAsia="zh-CN"/>
              </w:rPr>
              <w:t>；</w:t>
            </w:r>
          </w:p>
          <w:p w14:paraId="4AE27FE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5.2 支持手动给视频打点，可以选择视频某一个关键帧设置知识点标签、重难点标签和笔记内容</w:t>
            </w:r>
            <w:r>
              <w:rPr>
                <w:rFonts w:hint="eastAsia" w:ascii="仿宋_GB2312" w:hAnsi="仿宋" w:eastAsia="仿宋_GB2312" w:cs="仿宋_GB2312"/>
                <w:color w:val="auto"/>
                <w:sz w:val="24"/>
                <w:szCs w:val="21"/>
                <w:highlight w:val="none"/>
                <w:lang w:eastAsia="zh-CN"/>
              </w:rPr>
              <w:t>；</w:t>
            </w:r>
          </w:p>
          <w:p w14:paraId="32E31B4F">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5.3 支持录制好课程内容视频视图播放、图文视图播放，视频视图播放时应支持倍速播放（倍速可选择0.5\0.75\1\1.25\1.5\2倍速）、选择播放视频的声音大小、全屏展示播放</w:t>
            </w:r>
            <w:r>
              <w:rPr>
                <w:rFonts w:hint="eastAsia" w:ascii="仿宋_GB2312" w:hAnsi="仿宋" w:eastAsia="仿宋_GB2312" w:cs="仿宋_GB2312"/>
                <w:color w:val="auto"/>
                <w:sz w:val="24"/>
                <w:szCs w:val="21"/>
                <w:highlight w:val="none"/>
                <w:lang w:eastAsia="zh-CN"/>
              </w:rPr>
              <w:t>；</w:t>
            </w:r>
          </w:p>
          <w:p w14:paraId="0CD8EB0C">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5.4 支持课程内容下载功能，支持下载视频文件、下载字幕、下载音频，下载字幕时可选择多种字幕格式</w:t>
            </w:r>
            <w:r>
              <w:rPr>
                <w:rFonts w:hint="eastAsia" w:ascii="仿宋_GB2312" w:hAnsi="仿宋" w:eastAsia="仿宋_GB2312" w:cs="仿宋_GB2312"/>
                <w:color w:val="auto"/>
                <w:sz w:val="24"/>
                <w:szCs w:val="21"/>
                <w:highlight w:val="none"/>
                <w:lang w:eastAsia="zh-CN"/>
              </w:rPr>
              <w:t>；</w:t>
            </w:r>
          </w:p>
          <w:p w14:paraId="3B1DAF1D">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微课资源管理</w:t>
            </w:r>
          </w:p>
          <w:p w14:paraId="75BFAEA8">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6.1 微课管理：支持录制结束后，院校的管理员在后台查看对应院系和学校全部的微课资源</w:t>
            </w:r>
            <w:r>
              <w:rPr>
                <w:rFonts w:hint="eastAsia" w:ascii="仿宋_GB2312" w:hAnsi="仿宋" w:eastAsia="仿宋_GB2312" w:cs="仿宋_GB2312"/>
                <w:color w:val="auto"/>
                <w:sz w:val="24"/>
                <w:szCs w:val="21"/>
                <w:highlight w:val="none"/>
                <w:lang w:eastAsia="zh-CN"/>
              </w:rPr>
              <w:t>；</w:t>
            </w:r>
            <w:r>
              <w:rPr>
                <w:rFonts w:hint="eastAsia" w:ascii="仿宋_GB2312" w:hAnsi="仿宋" w:eastAsia="仿宋_GB2312" w:cs="仿宋_GB2312"/>
                <w:color w:val="auto"/>
                <w:sz w:val="24"/>
                <w:szCs w:val="21"/>
                <w:highlight w:val="none"/>
              </w:rPr>
              <w:t>同时支持教师自己的微课分享到学校课程中心、分享给其他教师或公开链接分享</w:t>
            </w:r>
            <w:r>
              <w:rPr>
                <w:rFonts w:hint="eastAsia" w:ascii="仿宋_GB2312" w:hAnsi="仿宋" w:eastAsia="仿宋_GB2312" w:cs="仿宋_GB2312"/>
                <w:color w:val="auto"/>
                <w:sz w:val="24"/>
                <w:szCs w:val="21"/>
                <w:highlight w:val="none"/>
                <w:lang w:eastAsia="zh-CN"/>
              </w:rPr>
              <w:t>；</w:t>
            </w:r>
          </w:p>
          <w:p w14:paraId="738741F1">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6.2 支持学校管理员和学院管理员对全校/全院系微课资源的管理，支持对封面、教师名称、资源名称、上传时间的列表查看，支持修改微课名称</w:t>
            </w:r>
            <w:r>
              <w:rPr>
                <w:rFonts w:hint="eastAsia" w:ascii="仿宋_GB2312" w:hAnsi="仿宋" w:eastAsia="仿宋_GB2312" w:cs="仿宋_GB2312"/>
                <w:color w:val="auto"/>
                <w:sz w:val="24"/>
                <w:szCs w:val="21"/>
                <w:highlight w:val="none"/>
                <w:lang w:eastAsia="zh-CN"/>
              </w:rPr>
              <w:t>；</w:t>
            </w:r>
          </w:p>
          <w:p w14:paraId="4F127539">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6.3 校本课程库支持全校教师和学生进行学习，支持按照微课的观看次数、收藏数、评论数等进行学习数据统计</w:t>
            </w:r>
            <w:r>
              <w:rPr>
                <w:rFonts w:hint="eastAsia" w:ascii="仿宋_GB2312" w:hAnsi="仿宋" w:eastAsia="仿宋_GB2312" w:cs="仿宋_GB2312"/>
                <w:color w:val="auto"/>
                <w:sz w:val="24"/>
                <w:szCs w:val="21"/>
                <w:highlight w:val="none"/>
                <w:lang w:eastAsia="zh-CN"/>
              </w:rPr>
              <w:t>；</w:t>
            </w:r>
          </w:p>
          <w:p w14:paraId="7F49279E">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6.4 支持用户按照上传教师姓名或微课名称进行微课的搜索</w:t>
            </w:r>
            <w:r>
              <w:rPr>
                <w:rFonts w:hint="eastAsia" w:ascii="仿宋_GB2312" w:hAnsi="仿宋" w:eastAsia="仿宋_GB2312" w:cs="仿宋_GB2312"/>
                <w:color w:val="auto"/>
                <w:sz w:val="24"/>
                <w:szCs w:val="21"/>
                <w:highlight w:val="none"/>
                <w:lang w:eastAsia="zh-CN"/>
              </w:rPr>
              <w:t>；</w:t>
            </w:r>
          </w:p>
          <w:p w14:paraId="224E2685">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6.5 微课数据看板：支持按微课总量、按学院专业进行微课数据统计，支持教师上传微课数量统计、支持微课的观看、点赞、评论量</w:t>
            </w:r>
            <w:r>
              <w:rPr>
                <w:rFonts w:hint="eastAsia" w:ascii="仿宋_GB2312" w:hAnsi="仿宋" w:eastAsia="仿宋_GB2312" w:cs="仿宋_GB2312"/>
                <w:color w:val="auto"/>
                <w:sz w:val="24"/>
                <w:szCs w:val="21"/>
                <w:highlight w:val="none"/>
                <w:lang w:val="en-US" w:eastAsia="zh-CN"/>
              </w:rPr>
              <w:t>统计。</w:t>
            </w:r>
          </w:p>
        </w:tc>
        <w:tc>
          <w:tcPr>
            <w:tcW w:w="1655" w:type="dxa"/>
            <w:tcBorders>
              <w:top w:val="single" w:color="auto" w:sz="4" w:space="0"/>
              <w:left w:val="single" w:color="auto" w:sz="4" w:space="0"/>
              <w:bottom w:val="single" w:color="auto" w:sz="4" w:space="0"/>
              <w:right w:val="single" w:color="auto" w:sz="4" w:space="0"/>
            </w:tcBorders>
            <w:vAlign w:val="center"/>
          </w:tcPr>
          <w:p w14:paraId="4E69F8F7">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6EF36A73">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2DA5B136">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6D0D7569">
            <w:pPr>
              <w:tabs>
                <w:tab w:val="left" w:pos="0"/>
              </w:tabs>
              <w:spacing w:line="240" w:lineRule="exact"/>
              <w:jc w:val="center"/>
              <w:rPr>
                <w:rFonts w:ascii="仿宋_GB2312" w:hAnsi="仿宋" w:eastAsia="仿宋_GB2312" w:cs="仿宋_GB2312"/>
                <w:color w:val="auto"/>
                <w:kern w:val="0"/>
                <w:sz w:val="24"/>
                <w:szCs w:val="21"/>
                <w:highlight w:val="none"/>
              </w:rPr>
            </w:pPr>
          </w:p>
        </w:tc>
      </w:tr>
      <w:tr w14:paraId="52FDF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68" w:type="dxa"/>
            <w:gridSpan w:val="5"/>
            <w:tcBorders>
              <w:top w:val="single" w:color="auto" w:sz="4" w:space="0"/>
              <w:left w:val="single" w:color="auto" w:sz="4" w:space="0"/>
              <w:bottom w:val="single" w:color="auto" w:sz="4" w:space="0"/>
              <w:right w:val="single" w:color="auto" w:sz="4" w:space="0"/>
            </w:tcBorders>
            <w:vAlign w:val="center"/>
          </w:tcPr>
          <w:p w14:paraId="5D0C276D">
            <w:pPr>
              <w:adjustRightInd w:val="0"/>
              <w:snapToGrid w:val="0"/>
              <w:ind w:right="105" w:rightChars="50"/>
              <w:jc w:val="left"/>
              <w:rPr>
                <w:rFonts w:hint="default"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lang w:val="en-US" w:eastAsia="zh-CN"/>
              </w:rPr>
              <w:t>品目16</w:t>
            </w:r>
          </w:p>
          <w:p w14:paraId="3095BAF4">
            <w:pPr>
              <w:pStyle w:val="21"/>
              <w:widowControl w:val="0"/>
              <w:adjustRightInd w:val="0"/>
              <w:snapToGrid w:val="0"/>
              <w:spacing w:before="0" w:beforeAutospacing="0" w:after="0" w:afterAutospacing="0"/>
              <w:jc w:val="both"/>
              <w:rPr>
                <w:rFonts w:ascii="仿宋_GB2312" w:hAnsi="仿宋" w:eastAsia="仿宋_GB2312" w:cs="仿宋_GB2312"/>
                <w:color w:val="auto"/>
                <w:kern w:val="2"/>
                <w:szCs w:val="21"/>
                <w:highlight w:val="none"/>
              </w:rPr>
            </w:pPr>
            <w:r>
              <w:rPr>
                <w:rFonts w:hint="eastAsia" w:ascii="仿宋_GB2312" w:hAnsi="仿宋" w:eastAsia="仿宋_GB2312" w:cs="仿宋_GB2312"/>
                <w:color w:val="auto"/>
                <w:kern w:val="2"/>
                <w:szCs w:val="21"/>
                <w:highlight w:val="none"/>
              </w:rPr>
              <w:t>产品名称：空调</w:t>
            </w:r>
          </w:p>
          <w:p w14:paraId="59429096">
            <w:pPr>
              <w:pStyle w:val="21"/>
              <w:widowControl w:val="0"/>
              <w:adjustRightInd w:val="0"/>
              <w:snapToGrid w:val="0"/>
              <w:spacing w:before="0" w:beforeAutospacing="0" w:after="0" w:afterAutospacing="0"/>
              <w:jc w:val="both"/>
              <w:rPr>
                <w:rFonts w:hint="default" w:ascii="仿宋_GB2312" w:hAnsi="仿宋" w:eastAsia="仿宋_GB2312" w:cs="仿宋_GB2312"/>
                <w:b/>
                <w:bCs/>
                <w:color w:val="auto"/>
                <w:kern w:val="2"/>
                <w:szCs w:val="21"/>
                <w:highlight w:val="none"/>
                <w:lang w:val="en-US" w:eastAsia="zh-CN"/>
              </w:rPr>
            </w:pPr>
            <w:r>
              <w:rPr>
                <w:rFonts w:hint="eastAsia" w:ascii="仿宋_GB2312" w:hAnsi="仿宋" w:eastAsia="仿宋_GB2312" w:cs="仿宋_GB2312"/>
                <w:color w:val="auto"/>
                <w:kern w:val="2"/>
                <w:szCs w:val="21"/>
                <w:highlight w:val="none"/>
              </w:rPr>
              <w:t>数量：</w:t>
            </w:r>
            <w:r>
              <w:rPr>
                <w:rFonts w:hint="eastAsia" w:ascii="仿宋_GB2312" w:hAnsi="仿宋" w:eastAsia="仿宋_GB2312" w:cs="仿宋_GB2312"/>
                <w:color w:val="auto"/>
                <w:kern w:val="2"/>
                <w:szCs w:val="21"/>
                <w:highlight w:val="none"/>
                <w:lang w:val="en-US" w:eastAsia="zh-CN"/>
              </w:rPr>
              <w:t>2台</w:t>
            </w:r>
          </w:p>
          <w:p w14:paraId="673ADB57">
            <w:pPr>
              <w:tabs>
                <w:tab w:val="left" w:pos="0"/>
              </w:tabs>
              <w:adjustRightInd w:val="0"/>
              <w:snapToGrid w:val="0"/>
              <w:rPr>
                <w:rFonts w:hint="eastAsia" w:ascii="仿宋_GB2312" w:hAnsi="仿宋" w:eastAsia="仿宋_GB2312" w:cs="仿宋_GB2312"/>
                <w:color w:val="auto"/>
                <w:sz w:val="24"/>
                <w:szCs w:val="21"/>
                <w:highlight w:val="none"/>
                <w:lang w:val="en-US" w:eastAsia="zh-CN"/>
              </w:rPr>
            </w:pPr>
            <w:r>
              <w:rPr>
                <w:rFonts w:hint="eastAsia" w:ascii="仿宋_GB2312" w:hAnsi="仿宋" w:eastAsia="仿宋_GB2312" w:cs="仿宋_GB2312"/>
                <w:color w:val="auto"/>
                <w:sz w:val="24"/>
                <w:szCs w:val="21"/>
                <w:highlight w:val="none"/>
              </w:rPr>
              <w:t>是否为经过审批采购的进口产品：</w:t>
            </w:r>
            <w:r>
              <w:rPr>
                <w:rFonts w:hint="eastAsia" w:ascii="仿宋_GB2312" w:hAnsi="仿宋" w:eastAsia="仿宋_GB2312" w:cs="仿宋_GB2312"/>
                <w:color w:val="auto"/>
                <w:sz w:val="24"/>
                <w:szCs w:val="21"/>
                <w:highlight w:val="none"/>
                <w:lang w:val="en-US" w:eastAsia="zh-CN"/>
              </w:rPr>
              <w:t>否</w:t>
            </w:r>
          </w:p>
          <w:p w14:paraId="2EA42BCC">
            <w:pPr>
              <w:tabs>
                <w:tab w:val="left" w:pos="0"/>
              </w:tabs>
              <w:adjustRightInd w:val="0"/>
              <w:snapToGrid w:val="0"/>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是否为核心产品（非单一产品采购项目时适用）：</w:t>
            </w:r>
            <w:r>
              <w:rPr>
                <w:rFonts w:hint="eastAsia" w:ascii="仿宋_GB2312" w:hAnsi="仿宋" w:eastAsia="仿宋_GB2312" w:cs="仿宋_GB2312"/>
                <w:color w:val="auto"/>
                <w:sz w:val="24"/>
                <w:szCs w:val="21"/>
                <w:highlight w:val="none"/>
                <w:lang w:val="en-US" w:eastAsia="zh-CN"/>
              </w:rPr>
              <w:t>否</w:t>
            </w:r>
          </w:p>
        </w:tc>
      </w:tr>
      <w:tr w14:paraId="0409B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34563F7C">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招标文件要求</w:t>
            </w:r>
          </w:p>
          <w:p w14:paraId="2E5D42F8">
            <w:pPr>
              <w:ind w:hanging="1" w:firstLineChars="0"/>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b/>
                <w:color w:val="auto"/>
                <w:szCs w:val="18"/>
                <w:highlight w:val="none"/>
              </w:rPr>
              <w:t>重要提示：实质性要求及重要指标用★标注（“★”必须标注在序号前），★标注项不得负偏离，如果负偏离，则投标文件无效</w:t>
            </w:r>
            <w:r>
              <w:rPr>
                <w:rFonts w:hint="eastAsia" w:ascii="仿宋_GB2312" w:hAnsi="仿宋" w:eastAsia="仿宋_GB2312" w:cs="仿宋_GB2312"/>
                <w:b/>
                <w:color w:val="auto"/>
                <w:szCs w:val="18"/>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7B6536D8">
            <w:pPr>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投标文件</w:t>
            </w:r>
          </w:p>
          <w:p w14:paraId="34BAC276">
            <w:pPr>
              <w:tabs>
                <w:tab w:val="left" w:pos="0"/>
              </w:tabs>
              <w:spacing w:line="240" w:lineRule="exact"/>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响应内容</w:t>
            </w:r>
          </w:p>
        </w:tc>
        <w:tc>
          <w:tcPr>
            <w:tcW w:w="1400" w:type="dxa"/>
            <w:tcBorders>
              <w:top w:val="single" w:color="auto" w:sz="4" w:space="0"/>
              <w:left w:val="single" w:color="auto" w:sz="4" w:space="0"/>
              <w:bottom w:val="single" w:color="auto" w:sz="4" w:space="0"/>
              <w:right w:val="single" w:color="auto" w:sz="4" w:space="0"/>
            </w:tcBorders>
            <w:vAlign w:val="center"/>
          </w:tcPr>
          <w:p w14:paraId="481FDAA5">
            <w:pPr>
              <w:keepNext w:val="0"/>
              <w:keepLines w:val="0"/>
              <w:pageBreakBefore w:val="0"/>
              <w:widowControl w:val="0"/>
              <w:tabs>
                <w:tab w:val="left" w:pos="0"/>
              </w:tabs>
              <w:kinsoku/>
              <w:wordWrap/>
              <w:overflowPunct/>
              <w:topLinePunct w:val="0"/>
              <w:autoSpaceDE/>
              <w:autoSpaceDN/>
              <w:bidi w:val="0"/>
              <w:adjustRightInd w:val="0"/>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偏离程度</w:t>
            </w:r>
          </w:p>
        </w:tc>
        <w:tc>
          <w:tcPr>
            <w:tcW w:w="1267" w:type="dxa"/>
            <w:tcBorders>
              <w:top w:val="single" w:color="auto" w:sz="4" w:space="0"/>
              <w:left w:val="single" w:color="auto" w:sz="4" w:space="0"/>
              <w:bottom w:val="single" w:color="auto" w:sz="4" w:space="0"/>
              <w:right w:val="single" w:color="auto" w:sz="4" w:space="0"/>
            </w:tcBorders>
            <w:vAlign w:val="center"/>
          </w:tcPr>
          <w:p w14:paraId="790668FB">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偏离</w:t>
            </w:r>
          </w:p>
          <w:p w14:paraId="0570777A">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说明</w:t>
            </w:r>
          </w:p>
        </w:tc>
        <w:tc>
          <w:tcPr>
            <w:tcW w:w="1067" w:type="dxa"/>
            <w:tcBorders>
              <w:top w:val="single" w:color="auto" w:sz="4" w:space="0"/>
              <w:left w:val="single" w:color="auto" w:sz="4" w:space="0"/>
              <w:bottom w:val="single" w:color="auto" w:sz="4" w:space="0"/>
              <w:right w:val="single" w:color="auto" w:sz="4" w:space="0"/>
            </w:tcBorders>
            <w:vAlign w:val="center"/>
          </w:tcPr>
          <w:p w14:paraId="792BFF76">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证明</w:t>
            </w:r>
          </w:p>
          <w:p w14:paraId="53B12911">
            <w:pPr>
              <w:keepNext w:val="0"/>
              <w:keepLines w:val="0"/>
              <w:pageBreakBefore w:val="0"/>
              <w:widowControl w:val="0"/>
              <w:tabs>
                <w:tab w:val="left" w:pos="0"/>
              </w:tabs>
              <w:kinsoku/>
              <w:wordWrap/>
              <w:overflowPunct/>
              <w:topLinePunct w:val="0"/>
              <w:autoSpaceDE/>
              <w:autoSpaceDN/>
              <w:bidi w:val="0"/>
              <w:adjustRightInd/>
              <w:snapToGrid w:val="0"/>
              <w:spacing w:line="240" w:lineRule="auto"/>
              <w:jc w:val="center"/>
              <w:textAlignment w:val="auto"/>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材料</w:t>
            </w:r>
          </w:p>
        </w:tc>
      </w:tr>
      <w:tr w14:paraId="599BF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252C270B">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1</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柜式</w:t>
            </w:r>
            <w:r>
              <w:rPr>
                <w:rFonts w:hint="eastAsia" w:ascii="仿宋_GB2312" w:hAnsi="仿宋" w:eastAsia="仿宋_GB2312" w:cs="仿宋_GB2312"/>
                <w:color w:val="auto"/>
                <w:sz w:val="24"/>
                <w:szCs w:val="21"/>
                <w:highlight w:val="none"/>
                <w:lang w:eastAsia="zh-CN"/>
              </w:rPr>
              <w:t>；</w:t>
            </w:r>
          </w:p>
          <w:p w14:paraId="703C0B5C">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jc w:val="both"/>
              <w:textAlignment w:val="auto"/>
              <w:rPr>
                <w:rFonts w:hint="eastAsia" w:ascii="仿宋_GB2312" w:hAnsi="仿宋" w:eastAsia="仿宋_GB2312" w:cs="仿宋_GB2312"/>
                <w:color w:val="auto"/>
                <w:sz w:val="24"/>
                <w:szCs w:val="21"/>
                <w:highlight w:val="none"/>
                <w:lang w:eastAsia="zh-CN"/>
              </w:rPr>
            </w:pPr>
            <w:r>
              <w:rPr>
                <w:rFonts w:hint="eastAsia" w:ascii="仿宋_GB2312" w:hAnsi="仿宋" w:eastAsia="仿宋_GB2312" w:cs="仿宋_GB2312"/>
                <w:color w:val="auto"/>
                <w:sz w:val="24"/>
                <w:szCs w:val="21"/>
                <w:highlight w:val="none"/>
              </w:rPr>
              <w:t>2</w:t>
            </w:r>
            <w:r>
              <w:rPr>
                <w:rFonts w:hint="eastAsia" w:ascii="仿宋_GB2312" w:hAnsi="仿宋" w:eastAsia="仿宋_GB2312" w:cs="仿宋_GB2312"/>
                <w:color w:val="auto"/>
                <w:sz w:val="24"/>
                <w:szCs w:val="21"/>
                <w:highlight w:val="none"/>
                <w:lang w:val="en-US" w:eastAsia="zh-CN"/>
              </w:rPr>
              <w:t>.</w:t>
            </w:r>
            <w:r>
              <w:rPr>
                <w:rFonts w:hint="eastAsia" w:ascii="仿宋_GB2312" w:hAnsi="仿宋" w:eastAsia="仿宋_GB2312" w:cs="仿宋_GB2312"/>
                <w:color w:val="auto"/>
                <w:sz w:val="24"/>
                <w:szCs w:val="21"/>
                <w:highlight w:val="none"/>
              </w:rPr>
              <w:t>不低于3匹</w:t>
            </w:r>
            <w:r>
              <w:rPr>
                <w:rFonts w:hint="eastAsia" w:ascii="仿宋_GB2312" w:hAnsi="仿宋" w:eastAsia="仿宋_GB2312" w:cs="仿宋_GB2312"/>
                <w:color w:val="auto"/>
                <w:sz w:val="24"/>
                <w:szCs w:val="21"/>
                <w:highlight w:val="none"/>
                <w:lang w:eastAsia="zh-CN"/>
              </w:rPr>
              <w:t>。</w:t>
            </w:r>
          </w:p>
        </w:tc>
        <w:tc>
          <w:tcPr>
            <w:tcW w:w="1655" w:type="dxa"/>
            <w:tcBorders>
              <w:top w:val="single" w:color="auto" w:sz="4" w:space="0"/>
              <w:left w:val="single" w:color="auto" w:sz="4" w:space="0"/>
              <w:bottom w:val="single" w:color="auto" w:sz="4" w:space="0"/>
              <w:right w:val="single" w:color="auto" w:sz="4" w:space="0"/>
            </w:tcBorders>
            <w:vAlign w:val="center"/>
          </w:tcPr>
          <w:p w14:paraId="154DEF5C">
            <w:pPr>
              <w:tabs>
                <w:tab w:val="left" w:pos="0"/>
              </w:tabs>
              <w:adjustRightInd w:val="0"/>
              <w:snapToGrid w:val="0"/>
              <w:jc w:val="center"/>
              <w:rPr>
                <w:rFonts w:ascii="仿宋_GB2312" w:hAnsi="仿宋" w:eastAsia="仿宋_GB2312" w:cs="仿宋_GB2312"/>
                <w:color w:val="auto"/>
                <w:kern w:val="0"/>
                <w:sz w:val="24"/>
                <w:szCs w:val="21"/>
                <w:highlight w:val="none"/>
              </w:rPr>
            </w:pPr>
          </w:p>
        </w:tc>
        <w:tc>
          <w:tcPr>
            <w:tcW w:w="1400" w:type="dxa"/>
            <w:tcBorders>
              <w:top w:val="single" w:color="auto" w:sz="4" w:space="0"/>
              <w:left w:val="single" w:color="auto" w:sz="4" w:space="0"/>
              <w:bottom w:val="single" w:color="auto" w:sz="4" w:space="0"/>
              <w:right w:val="single" w:color="auto" w:sz="4" w:space="0"/>
            </w:tcBorders>
            <w:vAlign w:val="center"/>
          </w:tcPr>
          <w:p w14:paraId="294AFE45">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542874A9">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5BA33CE0">
            <w:pPr>
              <w:tabs>
                <w:tab w:val="left" w:pos="0"/>
              </w:tabs>
              <w:spacing w:line="240" w:lineRule="exact"/>
              <w:jc w:val="center"/>
              <w:rPr>
                <w:rFonts w:ascii="仿宋_GB2312" w:hAnsi="仿宋" w:eastAsia="仿宋_GB2312" w:cs="仿宋_GB2312"/>
                <w:color w:val="auto"/>
                <w:kern w:val="0"/>
                <w:sz w:val="24"/>
                <w:szCs w:val="21"/>
                <w:highlight w:val="none"/>
              </w:rPr>
            </w:pPr>
          </w:p>
        </w:tc>
      </w:tr>
      <w:tr w14:paraId="7190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879" w:type="dxa"/>
            <w:tcBorders>
              <w:top w:val="single" w:color="auto" w:sz="4" w:space="0"/>
              <w:left w:val="single" w:color="auto" w:sz="4" w:space="0"/>
              <w:bottom w:val="single" w:color="auto" w:sz="4" w:space="0"/>
              <w:right w:val="single" w:color="auto" w:sz="4" w:space="0"/>
            </w:tcBorders>
            <w:vAlign w:val="center"/>
          </w:tcPr>
          <w:p w14:paraId="3EB22AE5">
            <w:pPr>
              <w:adjustRightInd w:val="0"/>
              <w:snapToGrid w:val="0"/>
              <w:ind w:hanging="1"/>
              <w:jc w:val="center"/>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其它</w:t>
            </w:r>
          </w:p>
        </w:tc>
        <w:tc>
          <w:tcPr>
            <w:tcW w:w="1655" w:type="dxa"/>
            <w:tcBorders>
              <w:top w:val="single" w:color="auto" w:sz="4" w:space="0"/>
              <w:left w:val="single" w:color="auto" w:sz="4" w:space="0"/>
              <w:bottom w:val="single" w:color="auto" w:sz="4" w:space="0"/>
              <w:right w:val="single" w:color="auto" w:sz="4" w:space="0"/>
            </w:tcBorders>
            <w:vAlign w:val="center"/>
          </w:tcPr>
          <w:p w14:paraId="125A4500">
            <w:pPr>
              <w:tabs>
                <w:tab w:val="left" w:pos="-61"/>
              </w:tabs>
              <w:adjustRightInd w:val="0"/>
              <w:snapToGrid w:val="0"/>
              <w:ind w:right="-54" w:rightChars="-26"/>
              <w:jc w:val="center"/>
              <w:rPr>
                <w:rFonts w:ascii="仿宋_GB2312" w:hAnsi="仿宋" w:eastAsia="仿宋_GB2312" w:cs="仿宋_GB2312"/>
                <w:color w:val="auto"/>
                <w:kern w:val="0"/>
                <w:sz w:val="24"/>
                <w:szCs w:val="21"/>
                <w:highlight w:val="none"/>
              </w:rPr>
            </w:pPr>
            <w:r>
              <w:rPr>
                <w:rFonts w:hint="eastAsia" w:ascii="仿宋_GB2312" w:hAnsi="仿宋" w:eastAsia="仿宋_GB2312" w:cs="仿宋_GB2312"/>
                <w:color w:val="auto"/>
                <w:sz w:val="24"/>
                <w:szCs w:val="21"/>
                <w:highlight w:val="none"/>
              </w:rPr>
              <w:t>采购单位未提供需求而投标人认为需说明及补充的内容在此填列</w:t>
            </w:r>
          </w:p>
        </w:tc>
        <w:tc>
          <w:tcPr>
            <w:tcW w:w="1400" w:type="dxa"/>
            <w:tcBorders>
              <w:top w:val="single" w:color="auto" w:sz="4" w:space="0"/>
              <w:left w:val="single" w:color="auto" w:sz="4" w:space="0"/>
              <w:bottom w:val="single" w:color="auto" w:sz="4" w:space="0"/>
              <w:right w:val="single" w:color="auto" w:sz="4" w:space="0"/>
            </w:tcBorders>
            <w:vAlign w:val="center"/>
          </w:tcPr>
          <w:p w14:paraId="48B0B38D">
            <w:pPr>
              <w:tabs>
                <w:tab w:val="left" w:pos="0"/>
              </w:tabs>
              <w:spacing w:line="240" w:lineRule="exact"/>
              <w:jc w:val="center"/>
              <w:rPr>
                <w:rFonts w:ascii="仿宋_GB2312" w:hAnsi="仿宋" w:eastAsia="仿宋_GB2312" w:cs="仿宋_GB2312"/>
                <w:color w:val="auto"/>
                <w:kern w:val="0"/>
                <w:sz w:val="24"/>
                <w:szCs w:val="21"/>
                <w:highlight w:val="none"/>
              </w:rPr>
            </w:pPr>
          </w:p>
        </w:tc>
        <w:tc>
          <w:tcPr>
            <w:tcW w:w="1267" w:type="dxa"/>
            <w:tcBorders>
              <w:top w:val="single" w:color="auto" w:sz="4" w:space="0"/>
              <w:left w:val="single" w:color="auto" w:sz="4" w:space="0"/>
              <w:bottom w:val="single" w:color="auto" w:sz="4" w:space="0"/>
              <w:right w:val="single" w:color="auto" w:sz="4" w:space="0"/>
            </w:tcBorders>
            <w:vAlign w:val="center"/>
          </w:tcPr>
          <w:p w14:paraId="7E3A9976">
            <w:pPr>
              <w:tabs>
                <w:tab w:val="left" w:pos="0"/>
              </w:tabs>
              <w:spacing w:line="240" w:lineRule="exact"/>
              <w:jc w:val="center"/>
              <w:rPr>
                <w:rFonts w:ascii="仿宋_GB2312" w:hAnsi="仿宋" w:eastAsia="仿宋_GB2312" w:cs="仿宋_GB2312"/>
                <w:color w:val="auto"/>
                <w:kern w:val="0"/>
                <w:sz w:val="24"/>
                <w:szCs w:val="21"/>
                <w:highlight w:val="none"/>
              </w:rPr>
            </w:pPr>
          </w:p>
        </w:tc>
        <w:tc>
          <w:tcPr>
            <w:tcW w:w="1067" w:type="dxa"/>
            <w:tcBorders>
              <w:top w:val="single" w:color="auto" w:sz="4" w:space="0"/>
              <w:left w:val="single" w:color="auto" w:sz="4" w:space="0"/>
              <w:bottom w:val="single" w:color="auto" w:sz="4" w:space="0"/>
              <w:right w:val="single" w:color="auto" w:sz="4" w:space="0"/>
            </w:tcBorders>
            <w:vAlign w:val="center"/>
          </w:tcPr>
          <w:p w14:paraId="28EF2CD7">
            <w:pPr>
              <w:tabs>
                <w:tab w:val="left" w:pos="0"/>
              </w:tabs>
              <w:spacing w:line="240" w:lineRule="exact"/>
              <w:jc w:val="center"/>
              <w:rPr>
                <w:rFonts w:ascii="仿宋_GB2312" w:hAnsi="仿宋" w:eastAsia="仿宋_GB2312" w:cs="仿宋_GB2312"/>
                <w:color w:val="auto"/>
                <w:kern w:val="0"/>
                <w:sz w:val="24"/>
                <w:szCs w:val="21"/>
                <w:highlight w:val="none"/>
              </w:rPr>
            </w:pPr>
          </w:p>
        </w:tc>
      </w:tr>
    </w:tbl>
    <w:p w14:paraId="19B3A348">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ascii="仿宋_GB2312" w:hAnsi="仿宋" w:eastAsia="仿宋_GB2312" w:cs="仿宋_GB2312"/>
          <w:b/>
          <w:color w:val="auto"/>
          <w:sz w:val="24"/>
          <w:szCs w:val="21"/>
          <w:highlight w:val="none"/>
        </w:rPr>
      </w:pPr>
      <w:r>
        <w:rPr>
          <w:rFonts w:hint="eastAsia" w:ascii="仿宋_GB2312" w:hAnsi="仿宋" w:eastAsia="仿宋_GB2312" w:cs="仿宋_GB2312"/>
          <w:b/>
          <w:color w:val="auto"/>
          <w:sz w:val="24"/>
          <w:szCs w:val="21"/>
          <w:highlight w:val="none"/>
        </w:rPr>
        <w:t>填表要求：</w:t>
      </w:r>
    </w:p>
    <w:p w14:paraId="698A044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1．“投标文件响应内容”一栏由投标人按照招标文件要求填写并进行逐项响应。</w:t>
      </w:r>
    </w:p>
    <w:p w14:paraId="114E4F7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2．“偏离程度”一栏根据“投标文件响应内容”与招标文件逐项对照的结果填写。偏离必须用“正偏离、负偏离或无偏离”三个名称中的一种进行标注。</w:t>
      </w:r>
    </w:p>
    <w:p w14:paraId="7C33F53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3．“偏离说明”一栏由投标人对偏离的情况做详细说明。</w:t>
      </w:r>
    </w:p>
    <w:p w14:paraId="60A669D8">
      <w:pPr>
        <w:keepNext w:val="0"/>
        <w:keepLines w:val="0"/>
        <w:pageBreakBefore w:val="0"/>
        <w:widowControl w:val="0"/>
        <w:kinsoku/>
        <w:wordWrap/>
        <w:overflowPunct/>
        <w:topLinePunct w:val="0"/>
        <w:autoSpaceDE/>
        <w:autoSpaceDN/>
        <w:bidi w:val="0"/>
        <w:snapToGrid w:val="0"/>
        <w:spacing w:line="360" w:lineRule="auto"/>
        <w:textAlignment w:val="auto"/>
        <w:rPr>
          <w:rFonts w:hint="eastAsia" w:ascii="仿宋_GB2312" w:hAnsi="仿宋" w:eastAsia="仿宋_GB2312" w:cs="仿宋_GB2312"/>
          <w:color w:val="auto"/>
          <w:sz w:val="24"/>
          <w:highlight w:val="none"/>
        </w:rPr>
      </w:pPr>
    </w:p>
    <w:p w14:paraId="23E41486">
      <w:pPr>
        <w:keepNext w:val="0"/>
        <w:keepLines w:val="0"/>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5E34C9BA">
      <w:pPr>
        <w:keepNext w:val="0"/>
        <w:keepLines w:val="0"/>
        <w:pageBreakBefore w:val="0"/>
        <w:widowControl w:val="0"/>
        <w:kinsoku/>
        <w:wordWrap/>
        <w:overflowPunct/>
        <w:topLinePunct w:val="0"/>
        <w:autoSpaceDE/>
        <w:autoSpaceDN/>
        <w:bidi w:val="0"/>
        <w:snapToGrid w:val="0"/>
        <w:spacing w:line="360" w:lineRule="auto"/>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2E9E6626">
      <w:pPr>
        <w:keepNext w:val="0"/>
        <w:keepLines w:val="0"/>
        <w:pageBreakBefore w:val="0"/>
        <w:widowControl w:val="0"/>
        <w:kinsoku/>
        <w:wordWrap/>
        <w:overflowPunct/>
        <w:topLinePunct w:val="0"/>
        <w:autoSpaceDE/>
        <w:autoSpaceDN/>
        <w:bidi w:val="0"/>
        <w:adjustRightInd w:val="0"/>
        <w:snapToGrid w:val="0"/>
        <w:spacing w:line="360" w:lineRule="auto"/>
        <w:ind w:right="105" w:rightChars="50"/>
        <w:jc w:val="left"/>
        <w:textAlignment w:val="auto"/>
        <w:rPr>
          <w:rFonts w:hint="eastAsia" w:ascii="仿宋_GB2312" w:hAnsi="仿宋" w:eastAsia="仿宋_GB2312" w:cs="仿宋_GB2312"/>
          <w:color w:val="auto"/>
          <w:sz w:val="24"/>
          <w:highlight w:val="none"/>
          <w:u w:val="single"/>
        </w:rPr>
        <w:sectPr>
          <w:headerReference r:id="rId9" w:type="default"/>
          <w:pgSz w:w="16838" w:h="11906" w:orient="landscape"/>
          <w:pgMar w:top="1803" w:right="1468" w:bottom="1803" w:left="1418" w:header="851" w:footer="1024" w:gutter="0"/>
          <w:pgBorders>
            <w:top w:val="none" w:sz="0" w:space="0"/>
            <w:left w:val="none" w:sz="0" w:space="0"/>
            <w:bottom w:val="none" w:sz="0" w:space="0"/>
            <w:right w:val="none" w:sz="0" w:space="0"/>
          </w:pgBorders>
          <w:cols w:space="720" w:num="1"/>
          <w:docGrid w:type="linesAndChars" w:linePitch="319" w:charSpace="0"/>
        </w:sect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348B80D2">
      <w:pPr>
        <w:pStyle w:val="3"/>
        <w:adjustRightInd w:val="0"/>
        <w:snapToGrid w:val="0"/>
        <w:spacing w:before="0" w:after="0" w:line="240" w:lineRule="atLeast"/>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t>格式14</w:t>
      </w:r>
    </w:p>
    <w:p w14:paraId="28BF8960">
      <w:pPr>
        <w:spacing w:before="159" w:beforeLines="50" w:after="159" w:afterLines="50" w:line="360" w:lineRule="auto"/>
        <w:ind w:right="-21" w:rightChars="-10"/>
        <w:jc w:val="center"/>
        <w:rPr>
          <w:rFonts w:hint="eastAsia" w:ascii="方正小标宋简体" w:hAnsi="仿宋_GB2312" w:eastAsia="方正小标宋简体" w:cs="仿宋_GB2312"/>
          <w:color w:val="auto"/>
          <w:sz w:val="32"/>
          <w:szCs w:val="32"/>
          <w:highlight w:val="none"/>
          <w:lang w:val="en-US" w:eastAsia="zh-CN"/>
        </w:rPr>
      </w:pPr>
      <w:bookmarkStart w:id="125" w:name="_Toc4431_WPSOffice_Level2"/>
      <w:bookmarkStart w:id="126" w:name="_Toc8488_WPSOffice_Level2"/>
      <w:r>
        <w:rPr>
          <w:rFonts w:hint="eastAsia" w:ascii="方正小标宋简体" w:hAnsi="仿宋_GB2312" w:eastAsia="方正小标宋简体" w:cs="仿宋_GB2312"/>
          <w:color w:val="auto"/>
          <w:sz w:val="32"/>
          <w:szCs w:val="32"/>
          <w:highlight w:val="none"/>
        </w:rPr>
        <w:t>商务条款偏离表</w:t>
      </w:r>
      <w:bookmarkEnd w:id="125"/>
      <w:bookmarkEnd w:id="126"/>
    </w:p>
    <w:p w14:paraId="13B6974E">
      <w:pPr>
        <w:adjustRightInd w:val="0"/>
        <w:snapToGrid w:val="0"/>
        <w:spacing w:line="240" w:lineRule="atLeast"/>
        <w:ind w:right="105" w:rightChars="50"/>
        <w:jc w:val="left"/>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包号：001</w:t>
      </w:r>
    </w:p>
    <w:tbl>
      <w:tblPr>
        <w:tblStyle w:val="25"/>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3890"/>
        <w:gridCol w:w="2469"/>
        <w:gridCol w:w="804"/>
        <w:gridCol w:w="790"/>
      </w:tblGrid>
      <w:tr w14:paraId="0E4DA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467C70F">
            <w:pPr>
              <w:adjustRightInd w:val="0"/>
              <w:snapToGrid w:val="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序号</w:t>
            </w:r>
          </w:p>
        </w:tc>
        <w:tc>
          <w:tcPr>
            <w:tcW w:w="3890" w:type="dxa"/>
            <w:tcBorders>
              <w:top w:val="single" w:color="auto" w:sz="4" w:space="0"/>
              <w:left w:val="single" w:color="auto" w:sz="4" w:space="0"/>
              <w:bottom w:val="single" w:color="auto" w:sz="4" w:space="0"/>
              <w:right w:val="single" w:color="auto" w:sz="4" w:space="0"/>
            </w:tcBorders>
            <w:vAlign w:val="center"/>
          </w:tcPr>
          <w:p w14:paraId="37310EDF">
            <w:pPr>
              <w:adjustRightInd w:val="0"/>
              <w:snapToGrid w:val="0"/>
              <w:ind w:right="-73" w:rightChars="-35"/>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招标文件的商务条款</w:t>
            </w:r>
          </w:p>
          <w:p w14:paraId="2BF1FFD8">
            <w:pPr>
              <w:adjustRightInd w:val="0"/>
              <w:snapToGrid w:val="0"/>
              <w:ind w:right="-73" w:rightChars="-35"/>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w:t>
            </w:r>
            <w:r>
              <w:rPr>
                <w:rFonts w:hint="eastAsia" w:ascii="仿宋_GB2312" w:hAnsi="仿宋" w:eastAsia="仿宋_GB2312"/>
                <w:b/>
                <w:color w:val="auto"/>
                <w:sz w:val="24"/>
                <w:szCs w:val="24"/>
                <w:highlight w:val="none"/>
              </w:rPr>
              <w:t>实质性要求及重要指标用★标注，★标注项不得负偏离，如果负偏离，则投标文件无效。</w:t>
            </w:r>
            <w:r>
              <w:rPr>
                <w:rFonts w:hint="eastAsia" w:ascii="仿宋_GB2312" w:hAnsi="仿宋" w:eastAsia="仿宋_GB2312"/>
                <w:color w:val="auto"/>
                <w:sz w:val="24"/>
                <w:szCs w:val="24"/>
                <w:highlight w:val="none"/>
              </w:rPr>
              <w:t>）</w:t>
            </w:r>
          </w:p>
        </w:tc>
        <w:tc>
          <w:tcPr>
            <w:tcW w:w="2469" w:type="dxa"/>
            <w:tcBorders>
              <w:top w:val="single" w:color="auto" w:sz="4" w:space="0"/>
              <w:left w:val="single" w:color="auto" w:sz="4" w:space="0"/>
              <w:bottom w:val="single" w:color="auto" w:sz="4" w:space="0"/>
              <w:right w:val="single" w:color="auto" w:sz="4" w:space="0"/>
            </w:tcBorders>
            <w:vAlign w:val="center"/>
          </w:tcPr>
          <w:p w14:paraId="12CF5340">
            <w:pPr>
              <w:adjustRightInd w:val="0"/>
              <w:snapToGrid w:val="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投标文件响应内容</w:t>
            </w:r>
          </w:p>
        </w:tc>
        <w:tc>
          <w:tcPr>
            <w:tcW w:w="804" w:type="dxa"/>
            <w:tcBorders>
              <w:top w:val="single" w:color="auto" w:sz="4" w:space="0"/>
              <w:left w:val="single" w:color="auto" w:sz="4" w:space="0"/>
              <w:bottom w:val="single" w:color="auto" w:sz="4" w:space="0"/>
              <w:right w:val="single" w:color="auto" w:sz="4" w:space="0"/>
            </w:tcBorders>
            <w:vAlign w:val="center"/>
          </w:tcPr>
          <w:p w14:paraId="57E3A357">
            <w:pPr>
              <w:adjustRightInd w:val="0"/>
              <w:snapToGrid w:val="0"/>
              <w:ind w:left="-58" w:leftChars="-28"/>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偏离</w:t>
            </w:r>
          </w:p>
          <w:p w14:paraId="0895BEA3">
            <w:pPr>
              <w:adjustRightInd w:val="0"/>
              <w:snapToGrid w:val="0"/>
              <w:ind w:left="-58" w:leftChars="-28"/>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程度</w:t>
            </w:r>
          </w:p>
        </w:tc>
        <w:tc>
          <w:tcPr>
            <w:tcW w:w="790" w:type="dxa"/>
            <w:tcBorders>
              <w:top w:val="single" w:color="auto" w:sz="4" w:space="0"/>
              <w:left w:val="single" w:color="auto" w:sz="4" w:space="0"/>
              <w:bottom w:val="single" w:color="auto" w:sz="4" w:space="0"/>
              <w:right w:val="single" w:color="auto" w:sz="4" w:space="0"/>
            </w:tcBorders>
            <w:vAlign w:val="center"/>
          </w:tcPr>
          <w:p w14:paraId="3A07D70B">
            <w:pPr>
              <w:adjustRightInd w:val="0"/>
              <w:snapToGrid w:val="0"/>
              <w:ind w:left="-58" w:leftChars="-28"/>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偏离</w:t>
            </w:r>
          </w:p>
          <w:p w14:paraId="0F40B1BD">
            <w:pPr>
              <w:adjustRightInd w:val="0"/>
              <w:snapToGrid w:val="0"/>
              <w:ind w:left="-58" w:leftChars="-28"/>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说明</w:t>
            </w:r>
          </w:p>
        </w:tc>
      </w:tr>
      <w:tr w14:paraId="617A8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D5380CF">
            <w:pPr>
              <w:adjustRightInd w:val="0"/>
              <w:snapToGrid w:val="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1</w:t>
            </w:r>
          </w:p>
        </w:tc>
        <w:tc>
          <w:tcPr>
            <w:tcW w:w="3890" w:type="dxa"/>
            <w:tcBorders>
              <w:top w:val="single" w:color="auto" w:sz="4" w:space="0"/>
              <w:left w:val="single" w:color="auto" w:sz="4" w:space="0"/>
              <w:bottom w:val="single" w:color="auto" w:sz="4" w:space="0"/>
              <w:right w:val="single" w:color="auto" w:sz="4" w:space="0"/>
            </w:tcBorders>
            <w:vAlign w:val="center"/>
          </w:tcPr>
          <w:p w14:paraId="20F6A686">
            <w:pPr>
              <w:adjustRightInd w:val="0"/>
              <w:snapToGrid w:val="0"/>
              <w:rPr>
                <w:rFonts w:hint="eastAsia" w:ascii="仿宋_GB2312" w:hAnsi="仿宋" w:eastAsia="仿宋_GB2312"/>
                <w:color w:val="auto"/>
                <w:sz w:val="24"/>
                <w:szCs w:val="24"/>
                <w:highlight w:val="none"/>
                <w:lang w:eastAsia="zh-CN"/>
              </w:rPr>
            </w:pPr>
            <w:r>
              <w:rPr>
                <w:rFonts w:hint="eastAsia" w:ascii="仿宋_GB2312" w:hAnsi="仿宋" w:eastAsia="仿宋_GB2312"/>
                <w:b/>
                <w:color w:val="auto"/>
                <w:sz w:val="24"/>
                <w:szCs w:val="24"/>
                <w:highlight w:val="none"/>
              </w:rPr>
              <w:t>★</w:t>
            </w:r>
            <w:r>
              <w:rPr>
                <w:rFonts w:hint="eastAsia" w:ascii="仿宋_GB2312" w:hAnsi="仿宋" w:eastAsia="仿宋_GB2312"/>
                <w:b w:val="0"/>
                <w:bCs/>
                <w:color w:val="auto"/>
                <w:sz w:val="24"/>
                <w:szCs w:val="24"/>
                <w:highlight w:val="none"/>
              </w:rPr>
              <w:t>交货时间：合同签订后30日内完成设备安装及调试。</w:t>
            </w:r>
          </w:p>
        </w:tc>
        <w:tc>
          <w:tcPr>
            <w:tcW w:w="2469" w:type="dxa"/>
            <w:tcBorders>
              <w:top w:val="single" w:color="auto" w:sz="4" w:space="0"/>
              <w:left w:val="single" w:color="auto" w:sz="4" w:space="0"/>
              <w:bottom w:val="single" w:color="auto" w:sz="4" w:space="0"/>
              <w:right w:val="single" w:color="auto" w:sz="4" w:space="0"/>
            </w:tcBorders>
            <w:vAlign w:val="center"/>
          </w:tcPr>
          <w:p w14:paraId="3D43B463">
            <w:pPr>
              <w:adjustRightInd w:val="0"/>
              <w:snapToGrid w:val="0"/>
              <w:ind w:right="105" w:rightChars="50"/>
              <w:jc w:val="center"/>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453BC566">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B58CA15">
            <w:pPr>
              <w:adjustRightInd w:val="0"/>
              <w:snapToGrid w:val="0"/>
              <w:ind w:right="105" w:rightChars="50"/>
              <w:jc w:val="center"/>
              <w:rPr>
                <w:rFonts w:hint="eastAsia" w:ascii="仿宋_GB2312" w:hAnsi="仿宋" w:eastAsia="仿宋_GB2312"/>
                <w:color w:val="auto"/>
                <w:sz w:val="24"/>
                <w:szCs w:val="24"/>
                <w:highlight w:val="none"/>
              </w:rPr>
            </w:pPr>
          </w:p>
        </w:tc>
      </w:tr>
      <w:tr w14:paraId="1B995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2867D6D0">
            <w:pPr>
              <w:adjustRightInd w:val="0"/>
              <w:snapToGrid w:val="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2</w:t>
            </w:r>
          </w:p>
        </w:tc>
        <w:tc>
          <w:tcPr>
            <w:tcW w:w="3890" w:type="dxa"/>
            <w:tcBorders>
              <w:top w:val="single" w:color="auto" w:sz="4" w:space="0"/>
              <w:left w:val="single" w:color="auto" w:sz="4" w:space="0"/>
              <w:bottom w:val="single" w:color="auto" w:sz="4" w:space="0"/>
              <w:right w:val="single" w:color="auto" w:sz="4" w:space="0"/>
            </w:tcBorders>
            <w:vAlign w:val="center"/>
          </w:tcPr>
          <w:p w14:paraId="491F2717">
            <w:pPr>
              <w:adjustRightInd w:val="0"/>
              <w:snapToGrid w:val="0"/>
              <w:rPr>
                <w:rFonts w:hint="eastAsia" w:ascii="仿宋_GB2312" w:hAnsi="仿宋" w:eastAsia="仿宋_GB2312"/>
                <w:color w:val="auto"/>
                <w:sz w:val="24"/>
                <w:szCs w:val="24"/>
                <w:highlight w:val="none"/>
              </w:rPr>
            </w:pPr>
            <w:r>
              <w:rPr>
                <w:rFonts w:hint="eastAsia" w:ascii="仿宋_GB2312" w:hAnsi="仿宋" w:eastAsia="仿宋_GB2312"/>
                <w:b/>
                <w:color w:val="auto"/>
                <w:sz w:val="24"/>
                <w:szCs w:val="24"/>
                <w:highlight w:val="none"/>
              </w:rPr>
              <w:t>★</w:t>
            </w:r>
            <w:r>
              <w:rPr>
                <w:rFonts w:hint="eastAsia" w:ascii="仿宋_GB2312" w:hAnsi="仿宋" w:eastAsia="仿宋_GB2312"/>
                <w:color w:val="auto"/>
                <w:sz w:val="24"/>
                <w:szCs w:val="24"/>
                <w:highlight w:val="none"/>
              </w:rPr>
              <w:t>交货地点：沈阳农业大学采购人指定地点。</w:t>
            </w:r>
          </w:p>
          <w:p w14:paraId="5B6569FE">
            <w:pPr>
              <w:adjustRightInd w:val="0"/>
              <w:snapToGrid w:val="0"/>
              <w:rPr>
                <w:rFonts w:hint="eastAsia" w:ascii="仿宋_GB2312" w:hAnsi="仿宋" w:eastAsia="仿宋_GB2312"/>
                <w:color w:val="auto"/>
                <w:sz w:val="24"/>
                <w:szCs w:val="24"/>
                <w:highlight w:val="none"/>
                <w:lang w:eastAsia="zh-CN"/>
              </w:rPr>
            </w:pPr>
            <w:r>
              <w:rPr>
                <w:rFonts w:hint="eastAsia" w:ascii="仿宋_GB2312" w:hAnsi="仿宋" w:eastAsia="仿宋_GB2312"/>
                <w:color w:val="auto"/>
                <w:sz w:val="24"/>
                <w:szCs w:val="24"/>
                <w:highlight w:val="none"/>
              </w:rPr>
              <w:t>本项目全部货物的运输、安装调试、安全等及与运输、安装调试、安全等相关的费用均由</w:t>
            </w:r>
            <w:r>
              <w:rPr>
                <w:rFonts w:hint="eastAsia" w:ascii="仿宋_GB2312" w:hAnsi="仿宋" w:eastAsia="仿宋_GB2312"/>
                <w:color w:val="auto"/>
                <w:sz w:val="24"/>
                <w:szCs w:val="24"/>
                <w:highlight w:val="none"/>
                <w:lang w:val="en-US" w:eastAsia="zh-CN"/>
              </w:rPr>
              <w:t>中标人</w:t>
            </w:r>
            <w:r>
              <w:rPr>
                <w:rFonts w:hint="eastAsia" w:ascii="仿宋_GB2312" w:hAnsi="仿宋" w:eastAsia="仿宋_GB2312"/>
                <w:color w:val="auto"/>
                <w:sz w:val="24"/>
                <w:szCs w:val="24"/>
                <w:highlight w:val="none"/>
              </w:rPr>
              <w:t>自行承担，含在</w:t>
            </w:r>
            <w:r>
              <w:rPr>
                <w:rFonts w:hint="eastAsia" w:ascii="仿宋_GB2312" w:hAnsi="仿宋" w:eastAsia="仿宋_GB2312"/>
                <w:color w:val="auto"/>
                <w:sz w:val="24"/>
                <w:szCs w:val="24"/>
                <w:highlight w:val="none"/>
                <w:lang w:val="en-US" w:eastAsia="zh-CN"/>
              </w:rPr>
              <w:t>投标</w:t>
            </w:r>
            <w:r>
              <w:rPr>
                <w:rFonts w:hint="eastAsia" w:ascii="仿宋_GB2312" w:hAnsi="仿宋" w:eastAsia="仿宋_GB2312"/>
                <w:color w:val="auto"/>
                <w:sz w:val="24"/>
                <w:szCs w:val="24"/>
                <w:highlight w:val="none"/>
              </w:rPr>
              <w:t>报价中，</w:t>
            </w:r>
            <w:r>
              <w:rPr>
                <w:rFonts w:hint="eastAsia" w:ascii="仿宋_GB2312" w:hAnsi="仿宋" w:eastAsia="仿宋_GB2312"/>
                <w:color w:val="auto"/>
                <w:sz w:val="24"/>
                <w:szCs w:val="24"/>
                <w:highlight w:val="none"/>
                <w:lang w:val="en-US" w:eastAsia="zh-CN"/>
              </w:rPr>
              <w:t>中标人</w:t>
            </w:r>
            <w:r>
              <w:rPr>
                <w:rFonts w:hint="eastAsia" w:ascii="仿宋_GB2312" w:hAnsi="仿宋" w:eastAsia="仿宋_GB2312"/>
                <w:color w:val="auto"/>
                <w:sz w:val="24"/>
                <w:szCs w:val="24"/>
                <w:highlight w:val="none"/>
              </w:rPr>
              <w:t>需将货物运输至采购人指定的地点（将指定数量运输到指定的建筑、楼层、房间）。</w:t>
            </w:r>
          </w:p>
        </w:tc>
        <w:tc>
          <w:tcPr>
            <w:tcW w:w="2469" w:type="dxa"/>
            <w:tcBorders>
              <w:top w:val="single" w:color="auto" w:sz="4" w:space="0"/>
              <w:left w:val="single" w:color="auto" w:sz="4" w:space="0"/>
              <w:bottom w:val="single" w:color="auto" w:sz="4" w:space="0"/>
              <w:right w:val="single" w:color="auto" w:sz="4" w:space="0"/>
            </w:tcBorders>
            <w:vAlign w:val="center"/>
          </w:tcPr>
          <w:p w14:paraId="1045E719">
            <w:pPr>
              <w:adjustRightInd w:val="0"/>
              <w:snapToGrid w:val="0"/>
              <w:ind w:right="105" w:rightChars="50"/>
              <w:jc w:val="center"/>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0E419FBE">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4CCD60D8">
            <w:pPr>
              <w:adjustRightInd w:val="0"/>
              <w:snapToGrid w:val="0"/>
              <w:ind w:right="105" w:rightChars="50"/>
              <w:jc w:val="center"/>
              <w:rPr>
                <w:rFonts w:hint="eastAsia" w:ascii="仿宋_GB2312" w:hAnsi="仿宋" w:eastAsia="仿宋_GB2312"/>
                <w:color w:val="auto"/>
                <w:sz w:val="24"/>
                <w:szCs w:val="24"/>
                <w:highlight w:val="none"/>
              </w:rPr>
            </w:pPr>
          </w:p>
        </w:tc>
      </w:tr>
      <w:tr w14:paraId="2D514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EBD8129">
            <w:pPr>
              <w:adjustRightInd w:val="0"/>
              <w:snapToGrid w:val="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3</w:t>
            </w:r>
          </w:p>
        </w:tc>
        <w:tc>
          <w:tcPr>
            <w:tcW w:w="3890" w:type="dxa"/>
            <w:tcBorders>
              <w:top w:val="single" w:color="auto" w:sz="4" w:space="0"/>
              <w:left w:val="single" w:color="auto" w:sz="4" w:space="0"/>
              <w:bottom w:val="single" w:color="auto" w:sz="4" w:space="0"/>
              <w:right w:val="single" w:color="auto" w:sz="4" w:space="0"/>
            </w:tcBorders>
            <w:vAlign w:val="center"/>
          </w:tcPr>
          <w:p w14:paraId="4DF0E43F">
            <w:pPr>
              <w:pStyle w:val="9"/>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rPr>
              <w:t>★1.付款方式及条件：货物送至采购人指定地点，安装调试并经合同履约验收合格后，支付百分之百（100%）货款。付款前，</w:t>
            </w:r>
            <w:r>
              <w:rPr>
                <w:rFonts w:hint="eastAsia" w:ascii="仿宋_GB2312" w:hAnsi="仿宋" w:eastAsia="仿宋_GB2312"/>
                <w:color w:val="auto"/>
                <w:sz w:val="24"/>
                <w:szCs w:val="24"/>
                <w:highlight w:val="none"/>
                <w:lang w:val="en-US" w:eastAsia="zh-CN"/>
              </w:rPr>
              <w:t>中标人</w:t>
            </w:r>
            <w:r>
              <w:rPr>
                <w:rFonts w:hint="eastAsia" w:ascii="仿宋_GB2312" w:hAnsi="仿宋" w:eastAsia="仿宋_GB2312"/>
                <w:color w:val="auto"/>
                <w:sz w:val="24"/>
                <w:szCs w:val="24"/>
                <w:highlight w:val="none"/>
              </w:rPr>
              <w:t>应向</w:t>
            </w:r>
            <w:r>
              <w:rPr>
                <w:rFonts w:hint="eastAsia" w:ascii="仿宋_GB2312" w:hAnsi="仿宋" w:eastAsia="仿宋_GB2312"/>
                <w:color w:val="auto"/>
                <w:sz w:val="24"/>
                <w:szCs w:val="24"/>
                <w:highlight w:val="none"/>
                <w:lang w:val="en-US" w:eastAsia="zh-CN"/>
              </w:rPr>
              <w:t>采购人</w:t>
            </w:r>
            <w:r>
              <w:rPr>
                <w:rFonts w:hint="eastAsia" w:ascii="仿宋_GB2312" w:hAnsi="仿宋" w:eastAsia="仿宋_GB2312"/>
                <w:color w:val="auto"/>
                <w:sz w:val="24"/>
                <w:szCs w:val="24"/>
                <w:highlight w:val="none"/>
              </w:rPr>
              <w:t>开具等额增值税普通/专用发票，</w:t>
            </w:r>
            <w:r>
              <w:rPr>
                <w:rFonts w:hint="eastAsia" w:ascii="仿宋_GB2312" w:hAnsi="仿宋" w:eastAsia="仿宋_GB2312"/>
                <w:color w:val="auto"/>
                <w:sz w:val="24"/>
                <w:szCs w:val="24"/>
                <w:highlight w:val="none"/>
                <w:lang w:val="en-US" w:eastAsia="zh-CN"/>
              </w:rPr>
              <w:t>采购人</w:t>
            </w:r>
            <w:r>
              <w:rPr>
                <w:rFonts w:hint="eastAsia" w:ascii="仿宋_GB2312" w:hAnsi="仿宋" w:eastAsia="仿宋_GB2312"/>
                <w:color w:val="auto"/>
                <w:sz w:val="24"/>
                <w:szCs w:val="24"/>
                <w:highlight w:val="none"/>
              </w:rPr>
              <w:t>收到</w:t>
            </w:r>
            <w:r>
              <w:rPr>
                <w:rFonts w:hint="eastAsia" w:ascii="仿宋_GB2312" w:hAnsi="仿宋" w:eastAsia="仿宋_GB2312"/>
                <w:color w:val="auto"/>
                <w:sz w:val="24"/>
                <w:szCs w:val="24"/>
                <w:highlight w:val="none"/>
                <w:lang w:val="en-US" w:eastAsia="zh-CN"/>
              </w:rPr>
              <w:t>中标人</w:t>
            </w:r>
            <w:r>
              <w:rPr>
                <w:rFonts w:hint="eastAsia" w:ascii="仿宋_GB2312" w:hAnsi="仿宋" w:eastAsia="仿宋_GB2312"/>
                <w:color w:val="auto"/>
                <w:sz w:val="24"/>
                <w:szCs w:val="24"/>
                <w:highlight w:val="none"/>
              </w:rPr>
              <w:t>发票后通过银行转账的方式支付相应款项，</w:t>
            </w:r>
            <w:r>
              <w:rPr>
                <w:rFonts w:hint="eastAsia" w:ascii="仿宋_GB2312" w:hAnsi="仿宋" w:eastAsia="仿宋_GB2312"/>
                <w:color w:val="auto"/>
                <w:sz w:val="24"/>
                <w:szCs w:val="24"/>
                <w:highlight w:val="none"/>
                <w:lang w:val="en-US" w:eastAsia="zh-CN"/>
              </w:rPr>
              <w:t>中标人</w:t>
            </w:r>
            <w:r>
              <w:rPr>
                <w:rFonts w:hint="eastAsia" w:ascii="仿宋_GB2312" w:hAnsi="仿宋" w:eastAsia="仿宋_GB2312"/>
                <w:color w:val="auto"/>
                <w:sz w:val="24"/>
                <w:szCs w:val="24"/>
                <w:highlight w:val="none"/>
              </w:rPr>
              <w:t>未能开具合格发票的，</w:t>
            </w:r>
            <w:r>
              <w:rPr>
                <w:rFonts w:hint="eastAsia" w:ascii="仿宋_GB2312" w:hAnsi="仿宋" w:eastAsia="仿宋_GB2312"/>
                <w:color w:val="auto"/>
                <w:sz w:val="24"/>
                <w:szCs w:val="24"/>
                <w:highlight w:val="none"/>
                <w:lang w:val="en-US" w:eastAsia="zh-CN"/>
              </w:rPr>
              <w:t>采购人</w:t>
            </w:r>
            <w:r>
              <w:rPr>
                <w:rFonts w:hint="eastAsia" w:ascii="仿宋_GB2312" w:hAnsi="仿宋" w:eastAsia="仿宋_GB2312"/>
                <w:color w:val="auto"/>
                <w:sz w:val="24"/>
                <w:szCs w:val="24"/>
                <w:highlight w:val="none"/>
              </w:rPr>
              <w:t>有权延付拒付相应款项，不承担法律责任。</w:t>
            </w:r>
          </w:p>
        </w:tc>
        <w:tc>
          <w:tcPr>
            <w:tcW w:w="2469" w:type="dxa"/>
            <w:tcBorders>
              <w:top w:val="single" w:color="auto" w:sz="4" w:space="0"/>
              <w:left w:val="single" w:color="auto" w:sz="4" w:space="0"/>
              <w:bottom w:val="single" w:color="auto" w:sz="4" w:space="0"/>
              <w:right w:val="single" w:color="auto" w:sz="4" w:space="0"/>
            </w:tcBorders>
            <w:vAlign w:val="center"/>
          </w:tcPr>
          <w:p w14:paraId="09C18DBC">
            <w:pPr>
              <w:adjustRightInd w:val="0"/>
              <w:snapToGrid w:val="0"/>
              <w:ind w:right="105" w:rightChars="50"/>
              <w:jc w:val="center"/>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365EB419">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9F8B4C1">
            <w:pPr>
              <w:adjustRightInd w:val="0"/>
              <w:snapToGrid w:val="0"/>
              <w:ind w:right="105" w:rightChars="50"/>
              <w:jc w:val="center"/>
              <w:rPr>
                <w:rFonts w:hint="eastAsia" w:ascii="仿宋_GB2312" w:hAnsi="仿宋" w:eastAsia="仿宋_GB2312"/>
                <w:color w:val="auto"/>
                <w:sz w:val="24"/>
                <w:szCs w:val="24"/>
                <w:highlight w:val="none"/>
              </w:rPr>
            </w:pPr>
          </w:p>
        </w:tc>
      </w:tr>
      <w:tr w14:paraId="080E8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40ADC9A">
            <w:pPr>
              <w:adjustRightInd w:val="0"/>
              <w:snapToGrid w:val="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4</w:t>
            </w:r>
          </w:p>
        </w:tc>
        <w:tc>
          <w:tcPr>
            <w:tcW w:w="3890" w:type="dxa"/>
            <w:tcBorders>
              <w:top w:val="single" w:color="auto" w:sz="4" w:space="0"/>
              <w:left w:val="single" w:color="auto" w:sz="4" w:space="0"/>
              <w:bottom w:val="single" w:color="auto" w:sz="4" w:space="0"/>
              <w:right w:val="single" w:color="auto" w:sz="4" w:space="0"/>
            </w:tcBorders>
            <w:vAlign w:val="center"/>
          </w:tcPr>
          <w:p w14:paraId="2E1DB6FA">
            <w:pPr>
              <w:adjustRightInd w:val="0"/>
              <w:snapToGrid w:val="0"/>
              <w:ind w:left="1" w:hanging="1"/>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★验收标准：按照辽宁省政府采购履约验收管理办法的通知</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rPr>
              <w:t>辽财采[2017]603号)标准执行</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lang w:val="en-US" w:eastAsia="zh-CN"/>
              </w:rPr>
              <w:t>满</w:t>
            </w:r>
            <w:r>
              <w:rPr>
                <w:rFonts w:hint="eastAsia" w:ascii="仿宋_GB2312" w:hAnsi="仿宋" w:eastAsia="仿宋_GB2312"/>
                <w:color w:val="auto"/>
                <w:sz w:val="24"/>
                <w:szCs w:val="24"/>
                <w:highlight w:val="none"/>
              </w:rPr>
              <w:t>足采购人要求。</w:t>
            </w:r>
          </w:p>
          <w:p w14:paraId="2B80DA09">
            <w:pPr>
              <w:adjustRightInd w:val="0"/>
              <w:snapToGrid w:val="0"/>
              <w:ind w:left="1" w:hanging="1"/>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验收程序：按照《关于印发辽宁省政府采购履约验收管理办法的通知》（辽财采[2017]603号）由采购人委托招标代理机构执行，同时签订“履约验收书”。（注：凡供货期间，接货人与成交供应商签订的任何带有“验收”字样的单据均与“政府采购合同履约验收”工作无关，不具备法律效力）</w:t>
            </w:r>
          </w:p>
          <w:p w14:paraId="0FC77ED5">
            <w:pPr>
              <w:adjustRightInd w:val="0"/>
              <w:snapToGrid w:val="0"/>
              <w:ind w:left="1" w:hanging="1"/>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★验收报告：按照辽宁省政府采购履约验收管理办法的通知</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rPr>
              <w:t>辽财采[2017]603号)标准执行。</w:t>
            </w:r>
          </w:p>
          <w:p w14:paraId="4B93C2EF">
            <w:pPr>
              <w:adjustRightInd w:val="0"/>
              <w:snapToGrid w:val="0"/>
              <w:ind w:left="1" w:leftChars="0" w:hanging="1" w:firstLineChars="0"/>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★组织验收主体：本项目的履约验收工作由采购人依法组织实施。</w:t>
            </w:r>
          </w:p>
        </w:tc>
        <w:tc>
          <w:tcPr>
            <w:tcW w:w="2469" w:type="dxa"/>
            <w:tcBorders>
              <w:top w:val="single" w:color="auto" w:sz="4" w:space="0"/>
              <w:left w:val="single" w:color="auto" w:sz="4" w:space="0"/>
              <w:bottom w:val="single" w:color="auto" w:sz="4" w:space="0"/>
              <w:right w:val="single" w:color="auto" w:sz="4" w:space="0"/>
            </w:tcBorders>
            <w:vAlign w:val="center"/>
          </w:tcPr>
          <w:p w14:paraId="619645E0">
            <w:pPr>
              <w:adjustRightInd w:val="0"/>
              <w:snapToGrid w:val="0"/>
              <w:ind w:right="105" w:rightChars="50"/>
              <w:jc w:val="center"/>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1F5CC2F8">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7309DB93">
            <w:pPr>
              <w:adjustRightInd w:val="0"/>
              <w:snapToGrid w:val="0"/>
              <w:ind w:right="105" w:rightChars="50"/>
              <w:jc w:val="center"/>
              <w:rPr>
                <w:rFonts w:hint="eastAsia" w:ascii="仿宋_GB2312" w:hAnsi="仿宋" w:eastAsia="仿宋_GB2312"/>
                <w:color w:val="auto"/>
                <w:sz w:val="24"/>
                <w:szCs w:val="24"/>
                <w:highlight w:val="none"/>
              </w:rPr>
            </w:pPr>
          </w:p>
        </w:tc>
      </w:tr>
      <w:tr w14:paraId="6718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2CA13EC">
            <w:pPr>
              <w:adjustRightInd w:val="0"/>
              <w:snapToGrid w:val="0"/>
              <w:jc w:val="center"/>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5</w:t>
            </w:r>
          </w:p>
        </w:tc>
        <w:tc>
          <w:tcPr>
            <w:tcW w:w="3890" w:type="dxa"/>
            <w:tcBorders>
              <w:top w:val="single" w:color="auto" w:sz="4" w:space="0"/>
              <w:left w:val="single" w:color="auto" w:sz="4" w:space="0"/>
              <w:bottom w:val="single" w:color="auto" w:sz="4" w:space="0"/>
              <w:right w:val="single" w:color="auto" w:sz="4" w:space="0"/>
            </w:tcBorders>
            <w:vAlign w:val="center"/>
          </w:tcPr>
          <w:p w14:paraId="11BB6482">
            <w:pPr>
              <w:pStyle w:val="9"/>
              <w:jc w:val="both"/>
              <w:rPr>
                <w:rFonts w:hint="default" w:ascii="仿宋_GB2312" w:hAnsi="仿宋" w:eastAsia="仿宋_GB2312"/>
                <w:color w:val="auto"/>
                <w:sz w:val="24"/>
                <w:szCs w:val="24"/>
                <w:highlight w:val="none"/>
                <w:lang w:val="en-US" w:eastAsia="zh-CN"/>
              </w:rPr>
            </w:pPr>
            <w:r>
              <w:rPr>
                <w:rFonts w:hint="eastAsia" w:ascii="仿宋_GB2312" w:hAnsi="仿宋_GB2312" w:eastAsia="仿宋_GB2312" w:cs="仿宋_GB2312"/>
                <w:b/>
                <w:color w:val="auto"/>
                <w:sz w:val="24"/>
                <w:szCs w:val="24"/>
                <w:highlight w:val="none"/>
              </w:rPr>
              <w:t>★</w:t>
            </w:r>
            <w:r>
              <w:rPr>
                <w:rFonts w:hint="eastAsia" w:ascii="仿宋_GB2312" w:hAnsi="仿宋" w:eastAsia="仿宋_GB2312" w:cs="仿宋_GB2312"/>
                <w:color w:val="auto"/>
                <w:sz w:val="24"/>
                <w:highlight w:val="none"/>
              </w:rPr>
              <w:t>质量保证期：</w:t>
            </w:r>
            <w:r>
              <w:rPr>
                <w:rFonts w:hint="eastAsia" w:ascii="仿宋_GB2312" w:hAnsi="仿宋" w:eastAsia="仿宋_GB2312"/>
                <w:bCs/>
                <w:color w:val="auto"/>
                <w:sz w:val="24"/>
                <w:szCs w:val="24"/>
                <w:highlight w:val="none"/>
              </w:rPr>
              <w:t>设备质保期</w:t>
            </w:r>
            <w:r>
              <w:rPr>
                <w:rFonts w:hint="eastAsia" w:ascii="仿宋_GB2312" w:hAnsi="仿宋" w:eastAsia="仿宋_GB2312"/>
                <w:bCs/>
                <w:color w:val="auto"/>
                <w:sz w:val="24"/>
                <w:szCs w:val="24"/>
                <w:highlight w:val="none"/>
                <w:lang w:val="en-US" w:eastAsia="zh-CN"/>
              </w:rPr>
              <w:t>3</w:t>
            </w:r>
            <w:r>
              <w:rPr>
                <w:rFonts w:hint="eastAsia" w:ascii="仿宋_GB2312" w:hAnsi="仿宋" w:eastAsia="仿宋_GB2312"/>
                <w:bCs/>
                <w:color w:val="auto"/>
                <w:sz w:val="24"/>
                <w:szCs w:val="24"/>
                <w:highlight w:val="none"/>
              </w:rPr>
              <w:t>年</w:t>
            </w:r>
            <w:r>
              <w:rPr>
                <w:rFonts w:hint="eastAsia" w:ascii="仿宋_GB2312" w:hAnsi="仿宋" w:eastAsia="仿宋_GB2312"/>
                <w:bCs/>
                <w:color w:val="auto"/>
                <w:sz w:val="24"/>
                <w:szCs w:val="24"/>
                <w:highlight w:val="none"/>
                <w:lang w:eastAsia="zh-CN"/>
              </w:rPr>
              <w:t>，</w:t>
            </w:r>
            <w:r>
              <w:rPr>
                <w:rFonts w:hint="eastAsia" w:ascii="仿宋_GB2312" w:hAnsi="仿宋" w:eastAsia="仿宋_GB2312"/>
                <w:bCs/>
                <w:color w:val="auto"/>
                <w:sz w:val="24"/>
                <w:szCs w:val="24"/>
                <w:highlight w:val="none"/>
                <w:lang w:val="en-US" w:eastAsia="zh-CN"/>
              </w:rPr>
              <w:t>软件5年</w:t>
            </w:r>
            <w:r>
              <w:rPr>
                <w:rFonts w:hint="eastAsia" w:ascii="仿宋_GB2312" w:hAnsi="仿宋" w:eastAsia="仿宋_GB2312"/>
                <w:bCs/>
                <w:color w:val="auto"/>
                <w:sz w:val="24"/>
                <w:szCs w:val="24"/>
                <w:highlight w:val="none"/>
              </w:rPr>
              <w:t>，产品自货到现场、安装调试并验收合格之日起免费保修壹年。保修期内产品本身所发生的质量问题（人为使用不当或管理不善造成的损坏除外），卖方应负责免费修理。货物技术要求中有质量保证期要求的，以货物技术要求中内容为准。</w:t>
            </w:r>
          </w:p>
        </w:tc>
        <w:tc>
          <w:tcPr>
            <w:tcW w:w="2469" w:type="dxa"/>
            <w:tcBorders>
              <w:top w:val="single" w:color="auto" w:sz="4" w:space="0"/>
              <w:left w:val="single" w:color="auto" w:sz="4" w:space="0"/>
              <w:bottom w:val="single" w:color="auto" w:sz="4" w:space="0"/>
              <w:right w:val="single" w:color="auto" w:sz="4" w:space="0"/>
            </w:tcBorders>
            <w:vAlign w:val="center"/>
          </w:tcPr>
          <w:p w14:paraId="2D46EE8F">
            <w:pPr>
              <w:adjustRightInd w:val="0"/>
              <w:snapToGrid w:val="0"/>
              <w:ind w:right="105" w:rightChars="50"/>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59A68F7F">
            <w:pPr>
              <w:adjustRightInd w:val="0"/>
              <w:snapToGrid w:val="0"/>
              <w:ind w:right="105" w:rightChars="50"/>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40337EF9">
            <w:pPr>
              <w:adjustRightInd w:val="0"/>
              <w:snapToGrid w:val="0"/>
              <w:ind w:right="105" w:rightChars="50"/>
              <w:rPr>
                <w:rFonts w:hint="eastAsia" w:ascii="仿宋_GB2312" w:hAnsi="仿宋" w:eastAsia="仿宋_GB2312"/>
                <w:color w:val="auto"/>
                <w:sz w:val="24"/>
                <w:szCs w:val="24"/>
                <w:highlight w:val="none"/>
              </w:rPr>
            </w:pPr>
          </w:p>
        </w:tc>
      </w:tr>
      <w:tr w14:paraId="143E9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19D77D94">
            <w:pPr>
              <w:adjustRightInd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6</w:t>
            </w:r>
          </w:p>
        </w:tc>
        <w:tc>
          <w:tcPr>
            <w:tcW w:w="3890" w:type="dxa"/>
            <w:tcBorders>
              <w:top w:val="single" w:color="auto" w:sz="4" w:space="0"/>
              <w:left w:val="single" w:color="auto" w:sz="4" w:space="0"/>
              <w:bottom w:val="single" w:color="auto" w:sz="4" w:space="0"/>
              <w:right w:val="single" w:color="auto" w:sz="4" w:space="0"/>
            </w:tcBorders>
            <w:vAlign w:val="center"/>
          </w:tcPr>
          <w:p w14:paraId="76F62C5E">
            <w:pPr>
              <w:adjustRightInd w:val="0"/>
              <w:snapToGrid w:val="0"/>
              <w:jc w:val="lef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★安装、调试及培训：在货物到达使用现场后，</w:t>
            </w:r>
            <w:r>
              <w:rPr>
                <w:rFonts w:hint="eastAsia" w:ascii="仿宋_GB2312" w:hAnsi="仿宋" w:eastAsia="仿宋_GB2312"/>
                <w:color w:val="auto"/>
                <w:sz w:val="24"/>
                <w:szCs w:val="24"/>
                <w:highlight w:val="none"/>
                <w:lang w:val="en-US" w:eastAsia="zh-CN"/>
              </w:rPr>
              <w:t>中标人</w:t>
            </w:r>
            <w:r>
              <w:rPr>
                <w:rFonts w:hint="eastAsia" w:ascii="仿宋_GB2312" w:hAnsi="仿宋" w:eastAsia="仿宋_GB2312"/>
                <w:color w:val="auto"/>
                <w:sz w:val="24"/>
                <w:szCs w:val="24"/>
                <w:highlight w:val="none"/>
              </w:rPr>
              <w:t>按</w:t>
            </w:r>
            <w:r>
              <w:rPr>
                <w:rFonts w:hint="eastAsia" w:ascii="仿宋_GB2312" w:hAnsi="仿宋" w:eastAsia="仿宋_GB2312"/>
                <w:color w:val="auto"/>
                <w:sz w:val="24"/>
                <w:szCs w:val="24"/>
                <w:highlight w:val="none"/>
                <w:lang w:val="en-US" w:eastAsia="zh-CN"/>
              </w:rPr>
              <w:t>采购人</w:t>
            </w:r>
            <w:r>
              <w:rPr>
                <w:rFonts w:hint="eastAsia" w:ascii="仿宋_GB2312" w:hAnsi="仿宋" w:eastAsia="仿宋_GB2312"/>
                <w:color w:val="auto"/>
                <w:sz w:val="24"/>
                <w:szCs w:val="24"/>
                <w:highlight w:val="none"/>
              </w:rPr>
              <w:t>通知时间派技术人员到</w:t>
            </w:r>
            <w:r>
              <w:rPr>
                <w:rFonts w:hint="eastAsia" w:ascii="仿宋_GB2312" w:hAnsi="仿宋" w:eastAsia="仿宋_GB2312"/>
                <w:color w:val="auto"/>
                <w:sz w:val="24"/>
                <w:szCs w:val="24"/>
                <w:highlight w:val="none"/>
                <w:lang w:val="en-US" w:eastAsia="zh-CN"/>
              </w:rPr>
              <w:t>采购人</w:t>
            </w:r>
            <w:r>
              <w:rPr>
                <w:rFonts w:hint="eastAsia" w:ascii="仿宋_GB2312" w:hAnsi="仿宋" w:eastAsia="仿宋_GB2312"/>
                <w:color w:val="auto"/>
                <w:sz w:val="24"/>
                <w:szCs w:val="24"/>
                <w:highlight w:val="none"/>
              </w:rPr>
              <w:t>的项目现场，在</w:t>
            </w:r>
            <w:r>
              <w:rPr>
                <w:rFonts w:hint="eastAsia" w:ascii="仿宋_GB2312" w:hAnsi="仿宋" w:eastAsia="仿宋_GB2312"/>
                <w:color w:val="auto"/>
                <w:sz w:val="24"/>
                <w:szCs w:val="24"/>
                <w:highlight w:val="none"/>
                <w:lang w:val="en-US" w:eastAsia="zh-CN"/>
              </w:rPr>
              <w:t>采购人</w:t>
            </w:r>
            <w:r>
              <w:rPr>
                <w:rFonts w:hint="eastAsia" w:ascii="仿宋_GB2312" w:hAnsi="仿宋" w:eastAsia="仿宋_GB2312"/>
                <w:color w:val="auto"/>
                <w:sz w:val="24"/>
                <w:szCs w:val="24"/>
                <w:highlight w:val="none"/>
              </w:rPr>
              <w:t>技术人员在场的情况下开箱清点货物，组织安装、调试，直至设备正常运行</w:t>
            </w:r>
            <w:r>
              <w:rPr>
                <w:rFonts w:hint="eastAsia" w:ascii="仿宋_GB2312" w:hAnsi="仿宋" w:eastAsia="仿宋_GB2312"/>
                <w:color w:val="auto"/>
                <w:sz w:val="24"/>
                <w:szCs w:val="24"/>
                <w:highlight w:val="none"/>
                <w:lang w:eastAsia="zh-CN"/>
              </w:rPr>
              <w:t>，</w:t>
            </w:r>
            <w:r>
              <w:rPr>
                <w:rFonts w:hint="eastAsia" w:ascii="仿宋_GB2312" w:hAnsi="仿宋" w:eastAsia="仿宋_GB2312"/>
                <w:color w:val="auto"/>
                <w:sz w:val="24"/>
                <w:szCs w:val="24"/>
                <w:highlight w:val="none"/>
              </w:rPr>
              <w:t>并承担因此发生的一切费用。</w:t>
            </w:r>
          </w:p>
          <w:p w14:paraId="5B92A27D">
            <w:pPr>
              <w:adjustRightInd w:val="0"/>
              <w:snapToGrid w:val="0"/>
              <w:jc w:val="left"/>
              <w:rPr>
                <w:rFonts w:hint="eastAsia" w:ascii="仿宋_GB2312" w:hAnsi="仿宋_GB2312" w:eastAsia="仿宋_GB2312" w:cs="仿宋_GB2312"/>
                <w:color w:val="auto"/>
                <w:sz w:val="24"/>
                <w:szCs w:val="24"/>
                <w:highlight w:val="none"/>
                <w:lang w:eastAsia="zh-CN"/>
              </w:rPr>
            </w:pPr>
            <w:r>
              <w:rPr>
                <w:rFonts w:hint="eastAsia" w:ascii="仿宋_GB2312" w:hAnsi="仿宋" w:eastAsia="仿宋_GB2312"/>
                <w:color w:val="auto"/>
                <w:sz w:val="24"/>
                <w:szCs w:val="24"/>
                <w:highlight w:val="none"/>
                <w:lang w:val="en-US" w:eastAsia="zh-CN"/>
              </w:rPr>
              <w:t>中标人</w:t>
            </w:r>
            <w:r>
              <w:rPr>
                <w:rFonts w:hint="eastAsia" w:ascii="仿宋_GB2312" w:hAnsi="仿宋" w:eastAsia="仿宋_GB2312"/>
                <w:color w:val="auto"/>
                <w:sz w:val="24"/>
                <w:szCs w:val="24"/>
                <w:highlight w:val="none"/>
              </w:rPr>
              <w:t>负责对</w:t>
            </w:r>
            <w:r>
              <w:rPr>
                <w:rFonts w:hint="eastAsia" w:ascii="仿宋_GB2312" w:hAnsi="仿宋" w:eastAsia="仿宋_GB2312"/>
                <w:color w:val="auto"/>
                <w:sz w:val="24"/>
                <w:szCs w:val="24"/>
                <w:highlight w:val="none"/>
                <w:lang w:val="en-US" w:eastAsia="zh-CN"/>
              </w:rPr>
              <w:t>采购人</w:t>
            </w:r>
            <w:r>
              <w:rPr>
                <w:rFonts w:hint="eastAsia" w:ascii="仿宋_GB2312" w:hAnsi="仿宋" w:eastAsia="仿宋_GB2312"/>
                <w:color w:val="auto"/>
                <w:sz w:val="24"/>
                <w:szCs w:val="24"/>
                <w:highlight w:val="none"/>
              </w:rPr>
              <w:t>技术人员、操作人员进行现场免费培训，培训内容包括设备操作、设备维护及简单的设备维修等，直至技术人员、操作人员能够熟练掌握为止</w:t>
            </w:r>
            <w:r>
              <w:rPr>
                <w:rFonts w:hint="eastAsia" w:ascii="仿宋_GB2312" w:hAnsi="仿宋" w:eastAsia="仿宋_GB2312"/>
                <w:color w:val="auto"/>
                <w:sz w:val="24"/>
                <w:szCs w:val="24"/>
                <w:highlight w:val="none"/>
                <w:lang w:eastAsia="zh-CN"/>
              </w:rPr>
              <w:t>。</w:t>
            </w:r>
          </w:p>
        </w:tc>
        <w:tc>
          <w:tcPr>
            <w:tcW w:w="2469" w:type="dxa"/>
            <w:tcBorders>
              <w:top w:val="single" w:color="auto" w:sz="4" w:space="0"/>
              <w:left w:val="single" w:color="auto" w:sz="4" w:space="0"/>
              <w:bottom w:val="single" w:color="auto" w:sz="4" w:space="0"/>
              <w:right w:val="single" w:color="auto" w:sz="4" w:space="0"/>
            </w:tcBorders>
            <w:vAlign w:val="center"/>
          </w:tcPr>
          <w:p w14:paraId="3715A34D">
            <w:pPr>
              <w:adjustRightInd w:val="0"/>
              <w:snapToGrid w:val="0"/>
              <w:ind w:left="-52" w:leftChars="-25" w:right="-16" w:rightChars="-8"/>
              <w:jc w:val="left"/>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6C426DC3">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2F94784">
            <w:pPr>
              <w:adjustRightInd w:val="0"/>
              <w:snapToGrid w:val="0"/>
              <w:ind w:right="105" w:rightChars="50"/>
              <w:jc w:val="center"/>
              <w:rPr>
                <w:rFonts w:hint="eastAsia" w:ascii="仿宋_GB2312" w:hAnsi="仿宋" w:eastAsia="仿宋_GB2312"/>
                <w:color w:val="auto"/>
                <w:sz w:val="24"/>
                <w:szCs w:val="24"/>
                <w:highlight w:val="none"/>
              </w:rPr>
            </w:pPr>
          </w:p>
        </w:tc>
      </w:tr>
      <w:tr w14:paraId="6ABF7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72AA65C">
            <w:pPr>
              <w:adjustRightInd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7</w:t>
            </w:r>
          </w:p>
        </w:tc>
        <w:tc>
          <w:tcPr>
            <w:tcW w:w="3890" w:type="dxa"/>
            <w:tcBorders>
              <w:top w:val="single" w:color="auto" w:sz="4" w:space="0"/>
              <w:left w:val="single" w:color="auto" w:sz="4" w:space="0"/>
              <w:bottom w:val="single" w:color="auto" w:sz="4" w:space="0"/>
              <w:right w:val="single" w:color="auto" w:sz="4" w:space="0"/>
            </w:tcBorders>
            <w:vAlign w:val="center"/>
          </w:tcPr>
          <w:p w14:paraId="712647FD">
            <w:pPr>
              <w:adjustRightInd w:val="0"/>
              <w:snapToGrid w:val="0"/>
              <w:jc w:val="left"/>
              <w:rPr>
                <w:rFonts w:hint="eastAsia"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rPr>
              <w:t>★</w:t>
            </w:r>
            <w:r>
              <w:rPr>
                <w:rFonts w:hint="eastAsia" w:ascii="仿宋_GB2312" w:hAnsi="仿宋" w:eastAsia="仿宋_GB2312"/>
                <w:color w:val="auto"/>
                <w:sz w:val="24"/>
                <w:szCs w:val="24"/>
                <w:highlight w:val="none"/>
                <w:lang w:val="en-US" w:eastAsia="zh-CN"/>
              </w:rPr>
              <w:t>售后服务：如果仪器出现故障，在接到用户通知后卖方24小时内予以响应，48小时内给予解决方案。质保期外，卖方应提供终身有偿维修服务。</w:t>
            </w:r>
          </w:p>
        </w:tc>
        <w:tc>
          <w:tcPr>
            <w:tcW w:w="2469" w:type="dxa"/>
            <w:tcBorders>
              <w:top w:val="single" w:color="auto" w:sz="4" w:space="0"/>
              <w:left w:val="single" w:color="auto" w:sz="4" w:space="0"/>
              <w:bottom w:val="single" w:color="auto" w:sz="4" w:space="0"/>
              <w:right w:val="single" w:color="auto" w:sz="4" w:space="0"/>
            </w:tcBorders>
            <w:vAlign w:val="center"/>
          </w:tcPr>
          <w:p w14:paraId="40FC2B22">
            <w:pPr>
              <w:adjustRightInd w:val="0"/>
              <w:snapToGrid w:val="0"/>
              <w:ind w:left="-52" w:leftChars="-25" w:right="-16" w:rightChars="-8"/>
              <w:jc w:val="left"/>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238BA184">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2179F6D8">
            <w:pPr>
              <w:adjustRightInd w:val="0"/>
              <w:snapToGrid w:val="0"/>
              <w:ind w:right="105" w:rightChars="50"/>
              <w:jc w:val="center"/>
              <w:rPr>
                <w:rFonts w:hint="eastAsia" w:ascii="仿宋_GB2312" w:hAnsi="仿宋" w:eastAsia="仿宋_GB2312"/>
                <w:color w:val="auto"/>
                <w:sz w:val="24"/>
                <w:szCs w:val="24"/>
                <w:highlight w:val="none"/>
              </w:rPr>
            </w:pPr>
          </w:p>
        </w:tc>
      </w:tr>
      <w:tr w14:paraId="0A6A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44E517D9">
            <w:pPr>
              <w:adjustRightInd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8</w:t>
            </w:r>
          </w:p>
        </w:tc>
        <w:tc>
          <w:tcPr>
            <w:tcW w:w="3890" w:type="dxa"/>
            <w:tcBorders>
              <w:top w:val="single" w:color="auto" w:sz="4" w:space="0"/>
              <w:left w:val="single" w:color="auto" w:sz="4" w:space="0"/>
              <w:bottom w:val="single" w:color="auto" w:sz="4" w:space="0"/>
              <w:right w:val="single" w:color="auto" w:sz="4" w:space="0"/>
            </w:tcBorders>
            <w:vAlign w:val="center"/>
          </w:tcPr>
          <w:p w14:paraId="766E29FB">
            <w:pPr>
              <w:adjustRightInd w:val="0"/>
              <w:snapToGrid w:val="0"/>
              <w:ind w:left="1" w:hanging="1"/>
              <w:rPr>
                <w:rFonts w:hint="eastAsia" w:ascii="仿宋_GB2312" w:hAnsi="仿宋" w:eastAsia="仿宋_GB2312"/>
                <w:color w:val="auto"/>
                <w:sz w:val="24"/>
                <w:szCs w:val="24"/>
                <w:highlight w:val="none"/>
              </w:rPr>
            </w:pPr>
            <w:r>
              <w:rPr>
                <w:rFonts w:hint="eastAsia" w:ascii="仿宋_GB2312" w:hAnsi="仿宋" w:eastAsia="仿宋_GB2312" w:cs="仿宋_GB2312"/>
                <w:color w:val="auto"/>
                <w:kern w:val="2"/>
                <w:sz w:val="24"/>
                <w:szCs w:val="24"/>
                <w:highlight w:val="none"/>
                <w:lang w:val="en-US" w:eastAsia="zh-CN" w:bidi="ar-SA"/>
              </w:rPr>
              <w:t>★培训要求：质保期内每年2-4次；</w:t>
            </w:r>
          </w:p>
        </w:tc>
        <w:tc>
          <w:tcPr>
            <w:tcW w:w="2469" w:type="dxa"/>
            <w:tcBorders>
              <w:top w:val="single" w:color="auto" w:sz="4" w:space="0"/>
              <w:left w:val="single" w:color="auto" w:sz="4" w:space="0"/>
              <w:bottom w:val="single" w:color="auto" w:sz="4" w:space="0"/>
              <w:right w:val="single" w:color="auto" w:sz="4" w:space="0"/>
            </w:tcBorders>
            <w:vAlign w:val="center"/>
          </w:tcPr>
          <w:p w14:paraId="25C4CB64">
            <w:pPr>
              <w:adjustRightInd w:val="0"/>
              <w:snapToGrid w:val="0"/>
              <w:ind w:left="-52" w:leftChars="-25" w:right="-16" w:rightChars="-8"/>
              <w:jc w:val="left"/>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67765BB0">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0DFB7A59">
            <w:pPr>
              <w:adjustRightInd w:val="0"/>
              <w:snapToGrid w:val="0"/>
              <w:ind w:right="105" w:rightChars="50"/>
              <w:jc w:val="center"/>
              <w:rPr>
                <w:rFonts w:hint="eastAsia" w:ascii="仿宋_GB2312" w:hAnsi="仿宋" w:eastAsia="仿宋_GB2312"/>
                <w:color w:val="auto"/>
                <w:sz w:val="24"/>
                <w:szCs w:val="24"/>
                <w:highlight w:val="none"/>
              </w:rPr>
            </w:pPr>
          </w:p>
        </w:tc>
      </w:tr>
      <w:tr w14:paraId="59D0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747AA27A">
            <w:pPr>
              <w:adjustRightInd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9</w:t>
            </w:r>
          </w:p>
        </w:tc>
        <w:tc>
          <w:tcPr>
            <w:tcW w:w="3890" w:type="dxa"/>
            <w:tcBorders>
              <w:top w:val="single" w:color="auto" w:sz="4" w:space="0"/>
              <w:left w:val="single" w:color="auto" w:sz="4" w:space="0"/>
              <w:bottom w:val="single" w:color="auto" w:sz="4" w:space="0"/>
              <w:right w:val="single" w:color="auto" w:sz="4" w:space="0"/>
            </w:tcBorders>
            <w:vAlign w:val="center"/>
          </w:tcPr>
          <w:p w14:paraId="52C4D937">
            <w:pPr>
              <w:adjustRightInd w:val="0"/>
              <w:snapToGrid w:val="0"/>
              <w:ind w:left="1" w:hanging="1"/>
              <w:rPr>
                <w:rFonts w:hint="default" w:ascii="仿宋_GB2312" w:hAnsi="仿宋" w:eastAsia="仿宋_GB2312"/>
                <w:color w:val="auto"/>
                <w:sz w:val="24"/>
                <w:szCs w:val="24"/>
                <w:highlight w:val="none"/>
                <w:lang w:val="en-US" w:eastAsia="zh-CN"/>
              </w:rPr>
            </w:pPr>
            <w:r>
              <w:rPr>
                <w:rFonts w:hint="eastAsia" w:ascii="仿宋_GB2312" w:hAnsi="仿宋" w:eastAsia="仿宋_GB2312" w:cs="仿宋_GB2312"/>
                <w:color w:val="auto"/>
                <w:kern w:val="2"/>
                <w:sz w:val="24"/>
                <w:szCs w:val="24"/>
                <w:highlight w:val="none"/>
                <w:lang w:val="en-US" w:eastAsia="zh-CN" w:bidi="ar-SA"/>
              </w:rPr>
              <w:t>★投标人须对教室原有电源、监控、网线、地板和智慧黑板等设备适配，免费对接。</w:t>
            </w:r>
          </w:p>
        </w:tc>
        <w:tc>
          <w:tcPr>
            <w:tcW w:w="2469" w:type="dxa"/>
            <w:tcBorders>
              <w:top w:val="single" w:color="auto" w:sz="4" w:space="0"/>
              <w:left w:val="single" w:color="auto" w:sz="4" w:space="0"/>
              <w:bottom w:val="single" w:color="auto" w:sz="4" w:space="0"/>
              <w:right w:val="single" w:color="auto" w:sz="4" w:space="0"/>
            </w:tcBorders>
            <w:vAlign w:val="center"/>
          </w:tcPr>
          <w:p w14:paraId="1DE97688">
            <w:pPr>
              <w:adjustRightInd w:val="0"/>
              <w:snapToGrid w:val="0"/>
              <w:ind w:left="-52" w:leftChars="-25" w:right="-16" w:rightChars="-8"/>
              <w:jc w:val="left"/>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2B1BA62F">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6648651">
            <w:pPr>
              <w:adjustRightInd w:val="0"/>
              <w:snapToGrid w:val="0"/>
              <w:ind w:right="105" w:rightChars="50"/>
              <w:jc w:val="center"/>
              <w:rPr>
                <w:rFonts w:hint="eastAsia" w:ascii="仿宋_GB2312" w:hAnsi="仿宋" w:eastAsia="仿宋_GB2312"/>
                <w:color w:val="auto"/>
                <w:sz w:val="24"/>
                <w:szCs w:val="24"/>
                <w:highlight w:val="none"/>
              </w:rPr>
            </w:pPr>
          </w:p>
        </w:tc>
      </w:tr>
      <w:tr w14:paraId="43CD7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07776317">
            <w:pPr>
              <w:adjustRightInd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10</w:t>
            </w:r>
          </w:p>
        </w:tc>
        <w:tc>
          <w:tcPr>
            <w:tcW w:w="3890" w:type="dxa"/>
            <w:tcBorders>
              <w:top w:val="single" w:color="auto" w:sz="4" w:space="0"/>
              <w:left w:val="single" w:color="auto" w:sz="4" w:space="0"/>
              <w:bottom w:val="single" w:color="auto" w:sz="4" w:space="0"/>
              <w:right w:val="single" w:color="auto" w:sz="4" w:space="0"/>
            </w:tcBorders>
            <w:vAlign w:val="center"/>
          </w:tcPr>
          <w:p w14:paraId="61AAE1EF">
            <w:pPr>
              <w:adjustRightInd w:val="0"/>
              <w:snapToGrid w:val="0"/>
              <w:ind w:left="1" w:hanging="1"/>
              <w:rPr>
                <w:rFonts w:hint="eastAsia" w:ascii="仿宋_GB2312" w:hAnsi="仿宋" w:eastAsia="仿宋_GB2312" w:cs="仿宋_GB2312"/>
                <w:color w:val="auto"/>
                <w:kern w:val="2"/>
                <w:sz w:val="24"/>
                <w:szCs w:val="24"/>
                <w:highlight w:val="none"/>
                <w:lang w:val="en-US" w:eastAsia="zh-CN" w:bidi="ar-SA"/>
              </w:rPr>
            </w:pPr>
            <w:r>
              <w:rPr>
                <w:rFonts w:hint="eastAsia" w:ascii="仿宋_GB2312" w:hAnsi="仿宋" w:eastAsia="仿宋_GB2312" w:cs="仿宋_GB2312"/>
                <w:color w:val="auto"/>
                <w:kern w:val="2"/>
                <w:sz w:val="24"/>
                <w:szCs w:val="24"/>
                <w:highlight w:val="none"/>
                <w:lang w:val="en-US" w:eastAsia="zh-CN" w:bidi="ar-SA"/>
              </w:rPr>
              <w:t>★先进性：第四代语言实验室产品，支持线上线下混合式教学，支持智慧课程建设，实时采集教学数据可进行学情分析。支持AI备课工具。</w:t>
            </w:r>
          </w:p>
        </w:tc>
        <w:tc>
          <w:tcPr>
            <w:tcW w:w="2469" w:type="dxa"/>
            <w:tcBorders>
              <w:top w:val="single" w:color="auto" w:sz="4" w:space="0"/>
              <w:left w:val="single" w:color="auto" w:sz="4" w:space="0"/>
              <w:bottom w:val="single" w:color="auto" w:sz="4" w:space="0"/>
              <w:right w:val="single" w:color="auto" w:sz="4" w:space="0"/>
            </w:tcBorders>
            <w:vAlign w:val="center"/>
          </w:tcPr>
          <w:p w14:paraId="1C14D229">
            <w:pPr>
              <w:adjustRightInd w:val="0"/>
              <w:snapToGrid w:val="0"/>
              <w:ind w:left="-52" w:leftChars="-25" w:right="-16" w:rightChars="-8"/>
              <w:jc w:val="left"/>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17B488CB">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330281A6">
            <w:pPr>
              <w:adjustRightInd w:val="0"/>
              <w:snapToGrid w:val="0"/>
              <w:ind w:right="105" w:rightChars="50"/>
              <w:jc w:val="center"/>
              <w:rPr>
                <w:rFonts w:hint="eastAsia" w:ascii="仿宋_GB2312" w:hAnsi="仿宋" w:eastAsia="仿宋_GB2312"/>
                <w:color w:val="auto"/>
                <w:sz w:val="24"/>
                <w:szCs w:val="24"/>
                <w:highlight w:val="none"/>
              </w:rPr>
            </w:pPr>
          </w:p>
        </w:tc>
      </w:tr>
      <w:tr w14:paraId="6787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3302FEF9">
            <w:pPr>
              <w:adjustRightInd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11</w:t>
            </w:r>
          </w:p>
        </w:tc>
        <w:tc>
          <w:tcPr>
            <w:tcW w:w="3890" w:type="dxa"/>
            <w:tcBorders>
              <w:top w:val="single" w:color="auto" w:sz="4" w:space="0"/>
              <w:left w:val="single" w:color="auto" w:sz="4" w:space="0"/>
              <w:bottom w:val="single" w:color="auto" w:sz="4" w:space="0"/>
              <w:right w:val="single" w:color="auto" w:sz="4" w:space="0"/>
            </w:tcBorders>
            <w:shd w:val="clear" w:color="auto" w:fill="auto"/>
            <w:vAlign w:val="center"/>
          </w:tcPr>
          <w:p w14:paraId="7412A7FF">
            <w:pPr>
              <w:adjustRightInd w:val="0"/>
              <w:snapToGrid w:val="0"/>
              <w:jc w:val="left"/>
              <w:rPr>
                <w:rFonts w:hint="eastAsia" w:ascii="仿宋_GB2312" w:hAnsi="仿宋" w:eastAsia="仿宋_GB2312" w:cs="Times New Roman"/>
                <w:color w:val="auto"/>
                <w:kern w:val="2"/>
                <w:sz w:val="24"/>
                <w:szCs w:val="24"/>
                <w:highlight w:val="none"/>
                <w:lang w:val="en-US" w:eastAsia="zh-CN" w:bidi="ar-SA"/>
              </w:rPr>
            </w:pPr>
            <w:r>
              <w:rPr>
                <w:rFonts w:hint="eastAsia" w:ascii="仿宋_GB2312" w:hAnsi="仿宋" w:eastAsia="仿宋_GB2312"/>
                <w:color w:val="auto"/>
                <w:sz w:val="24"/>
                <w:szCs w:val="24"/>
                <w:highlight w:val="none"/>
              </w:rPr>
              <w:t>★报价要求：报价含税费、运输、安装等一切费用。</w:t>
            </w:r>
          </w:p>
        </w:tc>
        <w:tc>
          <w:tcPr>
            <w:tcW w:w="2469" w:type="dxa"/>
            <w:tcBorders>
              <w:top w:val="single" w:color="auto" w:sz="4" w:space="0"/>
              <w:left w:val="single" w:color="auto" w:sz="4" w:space="0"/>
              <w:bottom w:val="single" w:color="auto" w:sz="4" w:space="0"/>
              <w:right w:val="single" w:color="auto" w:sz="4" w:space="0"/>
            </w:tcBorders>
            <w:vAlign w:val="center"/>
          </w:tcPr>
          <w:p w14:paraId="1E712875">
            <w:pPr>
              <w:adjustRightInd w:val="0"/>
              <w:snapToGrid w:val="0"/>
              <w:ind w:left="-52" w:leftChars="-25" w:right="-16" w:rightChars="-8"/>
              <w:jc w:val="left"/>
              <w:rPr>
                <w:rFonts w:hint="eastAsia" w:ascii="仿宋_GB2312" w:hAnsi="仿宋" w:eastAsia="仿宋_GB2312"/>
                <w:color w:val="auto"/>
                <w:sz w:val="24"/>
                <w:szCs w:val="24"/>
                <w:highlight w:val="none"/>
              </w:rPr>
            </w:pPr>
          </w:p>
        </w:tc>
        <w:tc>
          <w:tcPr>
            <w:tcW w:w="804" w:type="dxa"/>
            <w:tcBorders>
              <w:top w:val="single" w:color="auto" w:sz="4" w:space="0"/>
              <w:left w:val="single" w:color="auto" w:sz="4" w:space="0"/>
              <w:bottom w:val="single" w:color="auto" w:sz="4" w:space="0"/>
              <w:right w:val="single" w:color="auto" w:sz="4" w:space="0"/>
            </w:tcBorders>
            <w:vAlign w:val="center"/>
          </w:tcPr>
          <w:p w14:paraId="20862626">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6F320549">
            <w:pPr>
              <w:adjustRightInd w:val="0"/>
              <w:snapToGrid w:val="0"/>
              <w:ind w:right="105" w:rightChars="50"/>
              <w:jc w:val="center"/>
              <w:rPr>
                <w:rFonts w:hint="eastAsia" w:ascii="仿宋_GB2312" w:hAnsi="仿宋" w:eastAsia="仿宋_GB2312"/>
                <w:color w:val="auto"/>
                <w:sz w:val="24"/>
                <w:szCs w:val="24"/>
                <w:highlight w:val="none"/>
              </w:rPr>
            </w:pPr>
          </w:p>
        </w:tc>
      </w:tr>
      <w:tr w14:paraId="0529A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716" w:type="dxa"/>
            <w:tcBorders>
              <w:top w:val="single" w:color="auto" w:sz="4" w:space="0"/>
              <w:left w:val="single" w:color="auto" w:sz="4" w:space="0"/>
              <w:bottom w:val="single" w:color="auto" w:sz="4" w:space="0"/>
              <w:right w:val="single" w:color="auto" w:sz="4" w:space="0"/>
            </w:tcBorders>
            <w:vAlign w:val="center"/>
          </w:tcPr>
          <w:p w14:paraId="67048E66">
            <w:pPr>
              <w:adjustRightInd w:val="0"/>
              <w:snapToGrid w:val="0"/>
              <w:jc w:val="center"/>
              <w:rPr>
                <w:rFonts w:hint="default" w:ascii="仿宋_GB2312" w:hAnsi="仿宋" w:eastAsia="仿宋_GB2312"/>
                <w:color w:val="auto"/>
                <w:sz w:val="24"/>
                <w:szCs w:val="24"/>
                <w:highlight w:val="none"/>
                <w:lang w:val="en-US" w:eastAsia="zh-CN"/>
              </w:rPr>
            </w:pPr>
            <w:r>
              <w:rPr>
                <w:rFonts w:hint="eastAsia" w:ascii="仿宋_GB2312" w:hAnsi="仿宋" w:eastAsia="仿宋_GB2312"/>
                <w:color w:val="auto"/>
                <w:sz w:val="24"/>
                <w:szCs w:val="24"/>
                <w:highlight w:val="none"/>
                <w:lang w:val="en-US" w:eastAsia="zh-CN"/>
              </w:rPr>
              <w:t>12</w:t>
            </w:r>
          </w:p>
        </w:tc>
        <w:tc>
          <w:tcPr>
            <w:tcW w:w="3890" w:type="dxa"/>
            <w:tcBorders>
              <w:top w:val="single" w:color="auto" w:sz="4" w:space="0"/>
              <w:left w:val="single" w:color="auto" w:sz="4" w:space="0"/>
              <w:bottom w:val="single" w:color="auto" w:sz="4" w:space="0"/>
              <w:right w:val="single" w:color="auto" w:sz="4" w:space="0"/>
            </w:tcBorders>
            <w:vAlign w:val="center"/>
          </w:tcPr>
          <w:p w14:paraId="09504D65">
            <w:pPr>
              <w:adjustRightInd w:val="0"/>
              <w:snapToGrid w:val="0"/>
              <w:ind w:left="1" w:hanging="1"/>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其他</w:t>
            </w:r>
          </w:p>
        </w:tc>
        <w:tc>
          <w:tcPr>
            <w:tcW w:w="2469" w:type="dxa"/>
            <w:tcBorders>
              <w:top w:val="single" w:color="auto" w:sz="4" w:space="0"/>
              <w:left w:val="single" w:color="auto" w:sz="4" w:space="0"/>
              <w:bottom w:val="single" w:color="auto" w:sz="4" w:space="0"/>
              <w:right w:val="single" w:color="auto" w:sz="4" w:space="0"/>
            </w:tcBorders>
            <w:vAlign w:val="center"/>
          </w:tcPr>
          <w:p w14:paraId="68D33FC7">
            <w:pPr>
              <w:adjustRightInd w:val="0"/>
              <w:snapToGrid w:val="0"/>
              <w:ind w:left="-52" w:leftChars="-25" w:right="-16" w:rightChars="-8"/>
              <w:jc w:val="left"/>
              <w:rPr>
                <w:rFonts w:hint="eastAsia"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采购单位未提供需求而投标人认为需说明及补充的内容在此填列</w:t>
            </w:r>
          </w:p>
        </w:tc>
        <w:tc>
          <w:tcPr>
            <w:tcW w:w="804" w:type="dxa"/>
            <w:tcBorders>
              <w:top w:val="single" w:color="auto" w:sz="4" w:space="0"/>
              <w:left w:val="single" w:color="auto" w:sz="4" w:space="0"/>
              <w:bottom w:val="single" w:color="auto" w:sz="4" w:space="0"/>
              <w:right w:val="single" w:color="auto" w:sz="4" w:space="0"/>
            </w:tcBorders>
            <w:vAlign w:val="center"/>
          </w:tcPr>
          <w:p w14:paraId="177B9F3B">
            <w:pPr>
              <w:adjustRightInd w:val="0"/>
              <w:snapToGrid w:val="0"/>
              <w:ind w:right="105" w:rightChars="50"/>
              <w:jc w:val="center"/>
              <w:rPr>
                <w:rFonts w:hint="eastAsia" w:ascii="仿宋_GB2312" w:hAnsi="仿宋" w:eastAsia="仿宋_GB2312"/>
                <w:color w:val="auto"/>
                <w:sz w:val="24"/>
                <w:szCs w:val="24"/>
                <w:highlight w:val="none"/>
              </w:rPr>
            </w:pPr>
          </w:p>
        </w:tc>
        <w:tc>
          <w:tcPr>
            <w:tcW w:w="790" w:type="dxa"/>
            <w:tcBorders>
              <w:top w:val="single" w:color="auto" w:sz="4" w:space="0"/>
              <w:left w:val="single" w:color="auto" w:sz="4" w:space="0"/>
              <w:bottom w:val="single" w:color="auto" w:sz="4" w:space="0"/>
              <w:right w:val="single" w:color="auto" w:sz="4" w:space="0"/>
            </w:tcBorders>
            <w:vAlign w:val="center"/>
          </w:tcPr>
          <w:p w14:paraId="50E95C63">
            <w:pPr>
              <w:adjustRightInd w:val="0"/>
              <w:snapToGrid w:val="0"/>
              <w:ind w:right="105" w:rightChars="50"/>
              <w:jc w:val="center"/>
              <w:rPr>
                <w:rFonts w:hint="eastAsia" w:ascii="仿宋_GB2312" w:hAnsi="仿宋" w:eastAsia="仿宋_GB2312"/>
                <w:color w:val="auto"/>
                <w:sz w:val="24"/>
                <w:szCs w:val="24"/>
                <w:highlight w:val="none"/>
              </w:rPr>
            </w:pPr>
          </w:p>
        </w:tc>
      </w:tr>
    </w:tbl>
    <w:p w14:paraId="291F5C91">
      <w:pPr>
        <w:keepNext w:val="0"/>
        <w:keepLines w:val="0"/>
        <w:pageBreakBefore w:val="0"/>
        <w:widowControl w:val="0"/>
        <w:kinsoku/>
        <w:wordWrap/>
        <w:overflowPunct/>
        <w:topLinePunct w:val="0"/>
        <w:autoSpaceDE/>
        <w:autoSpaceDN/>
        <w:bidi w:val="0"/>
        <w:adjustRightInd w:val="0"/>
        <w:snapToGrid w:val="0"/>
        <w:spacing w:line="440" w:lineRule="exact"/>
        <w:ind w:right="105" w:rightChars="50"/>
        <w:jc w:val="left"/>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b/>
          <w:color w:val="auto"/>
          <w:sz w:val="24"/>
          <w:szCs w:val="21"/>
          <w:highlight w:val="none"/>
        </w:rPr>
        <w:t>填表要求：</w:t>
      </w:r>
    </w:p>
    <w:p w14:paraId="5016E7A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1.“投标文件响应内容”一栏由投标人按照招标文件要求填写，进行响应。</w:t>
      </w:r>
    </w:p>
    <w:p w14:paraId="1C12AC8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2.“偏离程度”一栏根据“投标文件响应内容”与招标文件逐项对照的结果填写。偏离必须用 “正偏离、负偏离或无偏离”三个名称中的一种进行标注。</w:t>
      </w:r>
    </w:p>
    <w:p w14:paraId="0173E8D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3.“偏离说明”一栏由投标人对偏离的情况做详细说明。</w:t>
      </w:r>
    </w:p>
    <w:p w14:paraId="0E53FEE0">
      <w:pPr>
        <w:keepNext w:val="0"/>
        <w:keepLines w:val="0"/>
        <w:pageBreakBefore w:val="0"/>
        <w:widowControl w:val="0"/>
        <w:kinsoku/>
        <w:wordWrap/>
        <w:overflowPunct/>
        <w:topLinePunct w:val="0"/>
        <w:autoSpaceDE/>
        <w:autoSpaceDN/>
        <w:bidi w:val="0"/>
        <w:spacing w:line="440" w:lineRule="exact"/>
        <w:textAlignment w:val="auto"/>
        <w:rPr>
          <w:rFonts w:ascii="仿宋_GB2312" w:hAnsi="仿宋" w:eastAsia="仿宋_GB2312" w:cs="仿宋_GB2312"/>
          <w:color w:val="auto"/>
          <w:sz w:val="24"/>
          <w:highlight w:val="none"/>
        </w:rPr>
      </w:pPr>
    </w:p>
    <w:p w14:paraId="483A65EF">
      <w:pPr>
        <w:keepNext w:val="0"/>
        <w:keepLines w:val="0"/>
        <w:pageBreakBefore w:val="0"/>
        <w:widowControl w:val="0"/>
        <w:kinsoku/>
        <w:wordWrap/>
        <w:overflowPunct/>
        <w:topLinePunct w:val="0"/>
        <w:autoSpaceDE/>
        <w:autoSpaceDN/>
        <w:bidi w:val="0"/>
        <w:spacing w:line="440" w:lineRule="exac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27DDFEFC">
      <w:pPr>
        <w:keepNext w:val="0"/>
        <w:keepLines w:val="0"/>
        <w:pageBreakBefore w:val="0"/>
        <w:widowControl w:val="0"/>
        <w:kinsoku/>
        <w:wordWrap/>
        <w:overflowPunct/>
        <w:topLinePunct w:val="0"/>
        <w:autoSpaceDE/>
        <w:autoSpaceDN/>
        <w:bidi w:val="0"/>
        <w:spacing w:line="440" w:lineRule="exact"/>
        <w:textAlignment w:val="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0D4F47E9">
      <w:pPr>
        <w:keepNext w:val="0"/>
        <w:keepLines w:val="0"/>
        <w:pageBreakBefore w:val="0"/>
        <w:widowControl w:val="0"/>
        <w:kinsoku/>
        <w:wordWrap/>
        <w:overflowPunct/>
        <w:topLinePunct w:val="0"/>
        <w:autoSpaceDE/>
        <w:autoSpaceDN/>
        <w:bidi w:val="0"/>
        <w:spacing w:line="440" w:lineRule="exact"/>
        <w:textAlignment w:val="auto"/>
        <w:rPr>
          <w:rFonts w:hint="eastAsia"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6CB58A3B">
      <w:pPr>
        <w:rPr>
          <w:rFonts w:hint="eastAsia" w:ascii="仿宋_GB2312" w:hAnsi="仿宋" w:eastAsia="仿宋_GB2312" w:cs="仿宋_GB2312"/>
          <w:color w:val="auto"/>
          <w:sz w:val="24"/>
          <w:highlight w:val="none"/>
          <w:u w:val="single"/>
        </w:rPr>
      </w:pPr>
      <w:r>
        <w:rPr>
          <w:rFonts w:hint="eastAsia" w:ascii="仿宋_GB2312" w:hAnsi="仿宋" w:eastAsia="仿宋_GB2312" w:cs="仿宋_GB2312"/>
          <w:color w:val="auto"/>
          <w:sz w:val="24"/>
          <w:highlight w:val="none"/>
          <w:u w:val="single"/>
        </w:rPr>
        <w:br w:type="page"/>
      </w:r>
    </w:p>
    <w:p w14:paraId="7AE9F48E">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t>格式15</w:t>
      </w:r>
    </w:p>
    <w:p w14:paraId="2AC9F3AA">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bookmarkStart w:id="127" w:name="_Toc20929_WPSOffice_Level2"/>
      <w:bookmarkStart w:id="128" w:name="_Toc9410_WPSOffice_Level2"/>
      <w:r>
        <w:rPr>
          <w:rFonts w:hint="eastAsia" w:ascii="方正小标宋简体" w:hAnsi="仿宋_GB2312" w:eastAsia="方正小标宋简体" w:cs="仿宋_GB2312"/>
          <w:color w:val="auto"/>
          <w:sz w:val="32"/>
          <w:szCs w:val="32"/>
          <w:highlight w:val="none"/>
        </w:rPr>
        <w:t>投标人关联单位的说明</w:t>
      </w:r>
      <w:bookmarkEnd w:id="127"/>
      <w:bookmarkEnd w:id="128"/>
    </w:p>
    <w:p w14:paraId="1A1B6EC0">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说明：投标人应当如实披露与本单位存在下列关联关系的单位名称：</w:t>
      </w:r>
    </w:p>
    <w:p w14:paraId="52228708">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bookmarkStart w:id="129" w:name="_Toc2074_WPSOffice_Level2"/>
      <w:bookmarkStart w:id="130" w:name="_Toc31070_WPSOffice_Level2"/>
      <w:r>
        <w:rPr>
          <w:rFonts w:hint="eastAsia" w:ascii="仿宋_GB2312" w:hAnsi="仿宋" w:eastAsia="仿宋_GB2312" w:cs="仿宋_GB2312"/>
          <w:color w:val="auto"/>
          <w:sz w:val="24"/>
          <w:szCs w:val="21"/>
          <w:highlight w:val="none"/>
        </w:rPr>
        <w:t>（1）与投标人单位法定代表人（或非法人组织负责人）为同一人的其他单位；</w:t>
      </w:r>
      <w:bookmarkEnd w:id="129"/>
      <w:bookmarkEnd w:id="130"/>
    </w:p>
    <w:p w14:paraId="60E660CA">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bookmarkStart w:id="131" w:name="_Toc27053_WPSOffice_Level2"/>
      <w:bookmarkStart w:id="132" w:name="_Toc889_WPSOffice_Level2"/>
      <w:r>
        <w:rPr>
          <w:rFonts w:hint="eastAsia" w:ascii="仿宋_GB2312" w:hAnsi="仿宋" w:eastAsia="仿宋_GB2312" w:cs="仿宋_GB2312"/>
          <w:color w:val="auto"/>
          <w:sz w:val="24"/>
          <w:szCs w:val="21"/>
          <w:highlight w:val="none"/>
        </w:rPr>
        <w:t>（2）与投标人存在直接控股、管理关系的其他单位。</w:t>
      </w:r>
      <w:bookmarkEnd w:id="131"/>
      <w:bookmarkEnd w:id="132"/>
    </w:p>
    <w:p w14:paraId="5FB2A960">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06C1CCD1">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注：若无此情形，写“无”即可。</w:t>
      </w:r>
    </w:p>
    <w:p w14:paraId="3B271AFE">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4EDC1530">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0FEAFB3B">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52DD2040">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2697F0C8">
      <w:pPr>
        <w:adjustRightInd w:val="0"/>
        <w:snapToGrid w:val="0"/>
        <w:spacing w:line="360" w:lineRule="auto"/>
        <w:ind w:right="105" w:rightChars="50" w:firstLine="544" w:firstLineChars="227"/>
        <w:jc w:val="left"/>
        <w:rPr>
          <w:rFonts w:ascii="仿宋_GB2312" w:hAnsi="仿宋" w:eastAsia="仿宋_GB2312" w:cs="仿宋_GB2312"/>
          <w:color w:val="auto"/>
          <w:sz w:val="24"/>
          <w:szCs w:val="21"/>
          <w:highlight w:val="none"/>
        </w:rPr>
      </w:pPr>
    </w:p>
    <w:p w14:paraId="4660803A">
      <w:pPr>
        <w:spacing w:line="480" w:lineRule="auto"/>
        <w:rPr>
          <w:rFonts w:hint="eastAsia" w:ascii="仿宋_GB2312" w:hAnsi="仿宋" w:eastAsia="仿宋_GB2312" w:cs="仿宋_GB2312"/>
          <w:color w:val="auto"/>
          <w:sz w:val="24"/>
          <w:highlight w:val="none"/>
        </w:rPr>
      </w:pPr>
    </w:p>
    <w:p w14:paraId="13FF692B">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3AE929BA">
      <w:pPr>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w:t>
      </w:r>
      <w:r>
        <w:rPr>
          <w:rFonts w:hint="eastAsia" w:ascii="仿宋_GB2312" w:hAnsi="仿宋" w:eastAsia="仿宋_GB2312" w:cs="仿宋_GB2312"/>
          <w:color w:val="auto"/>
          <w:sz w:val="24"/>
          <w:szCs w:val="21"/>
          <w:highlight w:val="none"/>
        </w:rPr>
        <w:t>非法人组织负责人）或</w:t>
      </w:r>
      <w:r>
        <w:rPr>
          <w:rFonts w:hint="eastAsia" w:ascii="仿宋_GB2312" w:hAnsi="仿宋" w:eastAsia="仿宋_GB2312" w:cs="仿宋_GB2312"/>
          <w:color w:val="auto"/>
          <w:sz w:val="24"/>
          <w:highlight w:val="none"/>
        </w:rPr>
        <w:t>其</w:t>
      </w:r>
      <w:r>
        <w:rPr>
          <w:rFonts w:hint="eastAsia" w:ascii="仿宋_GB2312" w:hAnsi="仿宋" w:eastAsia="仿宋_GB2312" w:cs="仿宋_GB2312"/>
          <w:color w:val="auto"/>
          <w:sz w:val="24"/>
          <w:szCs w:val="21"/>
          <w:highlight w:val="none"/>
        </w:rPr>
        <w:t>授权</w:t>
      </w:r>
      <w:r>
        <w:rPr>
          <w:rFonts w:hint="eastAsia" w:ascii="仿宋_GB2312" w:hAnsi="仿宋" w:eastAsia="仿宋_GB2312" w:cs="仿宋_GB2312"/>
          <w:color w:val="auto"/>
          <w:sz w:val="24"/>
          <w:highlight w:val="none"/>
        </w:rPr>
        <w:t>委托</w:t>
      </w:r>
      <w:r>
        <w:rPr>
          <w:rFonts w:hint="eastAsia" w:ascii="仿宋_GB2312" w:hAnsi="仿宋" w:eastAsia="仿宋_GB2312" w:cs="仿宋_GB2312"/>
          <w:color w:val="auto"/>
          <w:sz w:val="24"/>
          <w:szCs w:val="21"/>
          <w:highlight w:val="none"/>
        </w:rPr>
        <w:t>人</w:t>
      </w:r>
      <w:r>
        <w:rPr>
          <w:rFonts w:hint="eastAsia" w:ascii="仿宋_GB2312" w:hAnsi="仿宋" w:eastAsia="仿宋_GB2312" w:cs="仿宋_GB2312"/>
          <w:color w:val="auto"/>
          <w:sz w:val="24"/>
          <w:highlight w:val="none"/>
        </w:rPr>
        <w:t>(签字或盖章)：</w:t>
      </w:r>
      <w:r>
        <w:rPr>
          <w:rFonts w:hint="eastAsia" w:ascii="仿宋_GB2312" w:hAnsi="仿宋" w:eastAsia="仿宋_GB2312" w:cs="仿宋_GB2312"/>
          <w:color w:val="auto"/>
          <w:sz w:val="24"/>
          <w:highlight w:val="none"/>
          <w:u w:val="single"/>
        </w:rPr>
        <w:t xml:space="preserve">        </w:t>
      </w:r>
    </w:p>
    <w:p w14:paraId="2EC35E40">
      <w:pPr>
        <w:spacing w:line="480" w:lineRule="auto"/>
        <w:rPr>
          <w:rFonts w:ascii="仿宋_GB2312" w:hAnsi="仿宋" w:eastAsia="仿宋_GB2312" w:cs="仿宋_GB2312"/>
          <w:color w:val="auto"/>
          <w:sz w:val="24"/>
          <w:highlight w:val="none"/>
          <w:u w:val="single"/>
        </w:rPr>
        <w:sectPr>
          <w:headerReference r:id="rId10" w:type="default"/>
          <w:pgSz w:w="11906" w:h="16838"/>
          <w:pgMar w:top="1468" w:right="1803" w:bottom="1418" w:left="1803" w:header="851" w:footer="1024" w:gutter="0"/>
          <w:pgBorders>
            <w:top w:val="none" w:sz="0" w:space="0"/>
            <w:left w:val="none" w:sz="0" w:space="0"/>
            <w:bottom w:val="none" w:sz="0" w:space="0"/>
            <w:right w:val="none" w:sz="0" w:space="0"/>
          </w:pgBorders>
          <w:cols w:space="720" w:num="1"/>
          <w:docGrid w:type="linesAndChars" w:linePitch="319" w:charSpace="0"/>
        </w:sectPr>
      </w:pPr>
      <w:r>
        <w:rPr>
          <w:rFonts w:hint="eastAsia" w:ascii="仿宋_GB2312" w:hAnsi="仿宋" w:eastAsia="仿宋_GB2312" w:cs="仿宋_GB2312"/>
          <w:color w:val="auto"/>
          <w:sz w:val="24"/>
          <w:highlight w:val="none"/>
        </w:rPr>
        <w:t>日      期：</w:t>
      </w:r>
      <w:r>
        <w:rPr>
          <w:rFonts w:hint="eastAsia" w:ascii="仿宋_GB2312" w:hAnsi="仿宋" w:eastAsia="仿宋_GB2312" w:cs="仿宋_GB2312"/>
          <w:color w:val="auto"/>
          <w:sz w:val="24"/>
          <w:highlight w:val="none"/>
          <w:u w:val="single"/>
        </w:rPr>
        <w:t xml:space="preserve">              </w:t>
      </w:r>
    </w:p>
    <w:p w14:paraId="4D50C72F">
      <w:pPr>
        <w:pStyle w:val="3"/>
        <w:adjustRightInd w:val="0"/>
        <w:snapToGrid w:val="0"/>
        <w:spacing w:before="0" w:after="0" w:line="240" w:lineRule="auto"/>
        <w:jc w:val="left"/>
        <w:rPr>
          <w:rFonts w:ascii="仿宋_GB2312" w:hAnsi="仿宋_GB2312" w:eastAsia="仿宋_GB2312" w:cs="仿宋_GB2312"/>
          <w:color w:val="auto"/>
          <w:szCs w:val="28"/>
          <w:highlight w:val="none"/>
        </w:rPr>
      </w:pPr>
      <w:r>
        <w:rPr>
          <w:rFonts w:hint="eastAsia" w:ascii="仿宋_GB2312" w:hAnsi="仿宋_GB2312" w:eastAsia="仿宋_GB2312" w:cs="仿宋_GB2312"/>
          <w:color w:val="auto"/>
          <w:szCs w:val="28"/>
          <w:highlight w:val="none"/>
        </w:rPr>
        <w:t>格式16</w:t>
      </w:r>
    </w:p>
    <w:p w14:paraId="29DED9A0">
      <w:pPr>
        <w:spacing w:before="319" w:beforeLines="100" w:after="319" w:afterLines="100" w:line="360" w:lineRule="auto"/>
        <w:ind w:right="-21" w:rightChars="-10"/>
        <w:jc w:val="center"/>
        <w:rPr>
          <w:rFonts w:ascii="仿宋_GB2312" w:hAnsi="仿宋_GB2312" w:eastAsia="仿宋_GB2312" w:cs="仿宋_GB2312"/>
          <w:color w:val="auto"/>
          <w:sz w:val="24"/>
          <w:highlight w:val="none"/>
        </w:rPr>
      </w:pPr>
      <w:r>
        <w:rPr>
          <w:rFonts w:hint="eastAsia" w:ascii="方正小标宋简体" w:hAnsi="仿宋" w:eastAsia="方正小标宋简体" w:cs="仿宋_GB2312"/>
          <w:color w:val="auto"/>
          <w:sz w:val="32"/>
          <w:szCs w:val="32"/>
          <w:highlight w:val="none"/>
        </w:rPr>
        <w:t>文件一致性承诺函</w:t>
      </w:r>
    </w:p>
    <w:p w14:paraId="0E00EF51">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我单位承诺：现场递交的加密备份投标文件与电子评审系统中上传的投标文件内容、格式一致，以备系统突发故障使用。</w:t>
      </w:r>
    </w:p>
    <w:p w14:paraId="22BAD222">
      <w:pPr>
        <w:spacing w:line="360" w:lineRule="auto"/>
        <w:ind w:firstLine="480" w:firstLineChars="200"/>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如启用备份文件，我公司将配合采购人、采购组织机构共同对使用情况进行签字确认，并同意采购人、采购组织机构将存储的备份文件与采购档案一并存档。</w:t>
      </w:r>
    </w:p>
    <w:p w14:paraId="7ED5053C">
      <w:pPr>
        <w:spacing w:line="360" w:lineRule="auto"/>
        <w:ind w:firstLine="420" w:firstLineChars="200"/>
        <w:rPr>
          <w:rFonts w:ascii="仿宋_GB2312" w:hAnsi="仿宋_GB2312" w:eastAsia="仿宋_GB2312" w:cs="仿宋_GB2312"/>
          <w:color w:val="auto"/>
          <w:szCs w:val="21"/>
          <w:highlight w:val="none"/>
        </w:rPr>
      </w:pPr>
    </w:p>
    <w:p w14:paraId="37595C03">
      <w:pPr>
        <w:pStyle w:val="37"/>
        <w:rPr>
          <w:rFonts w:ascii="仿宋_GB2312" w:hAnsi="仿宋_GB2312" w:eastAsia="仿宋_GB2312" w:cs="仿宋_GB2312"/>
          <w:color w:val="auto"/>
          <w:sz w:val="21"/>
          <w:szCs w:val="21"/>
          <w:highlight w:val="none"/>
        </w:rPr>
      </w:pPr>
    </w:p>
    <w:p w14:paraId="7FF3048B">
      <w:pPr>
        <w:spacing w:line="360" w:lineRule="auto"/>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特此说明</w:t>
      </w:r>
      <w:r>
        <w:rPr>
          <w:rFonts w:hint="eastAsia" w:ascii="仿宋_GB2312" w:hAnsi="仿宋_GB2312" w:eastAsia="仿宋_GB2312" w:cs="仿宋_GB2312"/>
          <w:color w:val="auto"/>
          <w:sz w:val="24"/>
          <w:highlight w:val="none"/>
          <w:lang w:eastAsia="zh-CN"/>
        </w:rPr>
        <w:t>。</w:t>
      </w:r>
    </w:p>
    <w:p w14:paraId="376B5A5F">
      <w:pPr>
        <w:tabs>
          <w:tab w:val="right" w:pos="8959"/>
        </w:tabs>
        <w:spacing w:line="288" w:lineRule="auto"/>
        <w:rPr>
          <w:rFonts w:ascii="仿宋_GB2312" w:hAnsi="仿宋_GB2312" w:eastAsia="仿宋_GB2312" w:cs="仿宋_GB2312"/>
          <w:b/>
          <w:color w:val="auto"/>
          <w:szCs w:val="21"/>
          <w:highlight w:val="none"/>
        </w:rPr>
      </w:pPr>
    </w:p>
    <w:p w14:paraId="542612FC">
      <w:pPr>
        <w:spacing w:line="288" w:lineRule="auto"/>
        <w:ind w:firstLine="411" w:firstLineChars="196"/>
        <w:rPr>
          <w:rFonts w:ascii="仿宋_GB2312" w:hAnsi="仿宋_GB2312" w:eastAsia="仿宋_GB2312" w:cs="仿宋_GB2312"/>
          <w:b/>
          <w:color w:val="auto"/>
          <w:szCs w:val="21"/>
          <w:highlight w:val="none"/>
        </w:rPr>
      </w:pPr>
    </w:p>
    <w:p w14:paraId="0142CFD7">
      <w:pPr>
        <w:tabs>
          <w:tab w:val="right" w:pos="8959"/>
        </w:tabs>
        <w:spacing w:line="288" w:lineRule="auto"/>
        <w:rPr>
          <w:rFonts w:ascii="仿宋_GB2312" w:hAnsi="仿宋_GB2312" w:eastAsia="仿宋_GB2312" w:cs="仿宋_GB2312"/>
          <w:b/>
          <w:color w:val="auto"/>
          <w:sz w:val="24"/>
          <w:highlight w:val="none"/>
        </w:rPr>
      </w:pPr>
    </w:p>
    <w:p w14:paraId="66E37029">
      <w:pPr>
        <w:spacing w:line="288" w:lineRule="auto"/>
        <w:ind w:firstLine="470" w:firstLineChars="196"/>
        <w:rPr>
          <w:rFonts w:ascii="仿宋_GB2312" w:hAnsi="仿宋_GB2312" w:eastAsia="仿宋_GB2312" w:cs="仿宋_GB2312"/>
          <w:b/>
          <w:color w:val="auto"/>
          <w:sz w:val="24"/>
          <w:highlight w:val="none"/>
        </w:rPr>
      </w:pPr>
    </w:p>
    <w:p w14:paraId="0FF51652">
      <w:pPr>
        <w:snapToGrid w:val="0"/>
        <w:spacing w:line="480" w:lineRule="auto"/>
        <w:rPr>
          <w:rFonts w:hint="eastAsia" w:ascii="仿宋_GB2312" w:hAnsi="仿宋" w:eastAsia="仿宋_GB2312" w:cs="仿宋_GB2312"/>
          <w:color w:val="auto"/>
          <w:sz w:val="24"/>
          <w:highlight w:val="none"/>
        </w:rPr>
      </w:pPr>
    </w:p>
    <w:p w14:paraId="377286B0">
      <w:pPr>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投标人名称（加盖单位公章）：</w:t>
      </w:r>
      <w:r>
        <w:rPr>
          <w:rFonts w:hint="eastAsia" w:ascii="仿宋_GB2312" w:hAnsi="仿宋" w:eastAsia="仿宋_GB2312" w:cs="仿宋_GB2312"/>
          <w:color w:val="auto"/>
          <w:sz w:val="24"/>
          <w:highlight w:val="none"/>
          <w:u w:val="single"/>
        </w:rPr>
        <w:t xml:space="preserve">           </w:t>
      </w:r>
    </w:p>
    <w:p w14:paraId="793FE75F">
      <w:pPr>
        <w:snapToGrid w:val="0"/>
        <w:spacing w:line="480" w:lineRule="auto"/>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法定代表人（或非法人组织负责人）或其授权委托人(签字或盖章)：</w:t>
      </w:r>
      <w:r>
        <w:rPr>
          <w:rFonts w:hint="eastAsia" w:ascii="仿宋_GB2312" w:hAnsi="仿宋" w:eastAsia="仿宋_GB2312" w:cs="仿宋_GB2312"/>
          <w:color w:val="auto"/>
          <w:sz w:val="24"/>
          <w:highlight w:val="none"/>
          <w:u w:val="single"/>
        </w:rPr>
        <w:t xml:space="preserve">        </w:t>
      </w:r>
    </w:p>
    <w:p w14:paraId="16BCDEF0">
      <w:pPr>
        <w:spacing w:line="480" w:lineRule="auto"/>
        <w:rPr>
          <w:rFonts w:ascii="仿宋_GB2312" w:hAnsi="仿宋" w:eastAsia="仿宋_GB2312" w:cs="仿宋_GB2312"/>
          <w:color w:val="auto"/>
          <w:szCs w:val="28"/>
          <w:highlight w:val="none"/>
        </w:rPr>
        <w:sectPr>
          <w:pgSz w:w="11906" w:h="16838"/>
          <w:pgMar w:top="1468" w:right="1803" w:bottom="1418" w:left="1803" w:header="851" w:footer="1024" w:gutter="0"/>
          <w:pgBorders>
            <w:top w:val="none" w:sz="0" w:space="0"/>
            <w:left w:val="none" w:sz="0" w:space="0"/>
            <w:bottom w:val="none" w:sz="0" w:space="0"/>
            <w:right w:val="none" w:sz="0" w:space="0"/>
          </w:pgBorders>
          <w:cols w:space="720" w:num="1"/>
          <w:docGrid w:type="linesAndChars" w:linePitch="319" w:charSpace="0"/>
        </w:sectPr>
      </w:pPr>
      <w:r>
        <w:rPr>
          <w:rFonts w:hint="eastAsia" w:ascii="仿宋_GB2312" w:hAnsi="仿宋" w:eastAsia="仿宋_GB2312" w:cs="仿宋_GB2312"/>
          <w:color w:val="auto"/>
          <w:sz w:val="24"/>
          <w:highlight w:val="none"/>
        </w:rPr>
        <w:t xml:space="preserve">日 </w:t>
      </w:r>
      <w:r>
        <w:rPr>
          <w:rFonts w:ascii="仿宋_GB2312" w:hAnsi="仿宋" w:eastAsia="仿宋_GB2312" w:cs="仿宋_GB2312"/>
          <w:color w:val="auto"/>
          <w:sz w:val="24"/>
          <w:highlight w:val="none"/>
        </w:rPr>
        <w:t xml:space="preserve">     </w:t>
      </w:r>
      <w:r>
        <w:rPr>
          <w:rFonts w:hint="eastAsia" w:ascii="仿宋_GB2312" w:hAnsi="仿宋" w:eastAsia="仿宋_GB2312" w:cs="仿宋_GB2312"/>
          <w:color w:val="auto"/>
          <w:sz w:val="24"/>
          <w:highlight w:val="none"/>
        </w:rPr>
        <w:t>期：</w:t>
      </w:r>
      <w:r>
        <w:rPr>
          <w:rFonts w:hint="eastAsia" w:ascii="仿宋_GB2312" w:hAnsi="仿宋" w:eastAsia="仿宋_GB2312" w:cs="仿宋_GB2312"/>
          <w:color w:val="auto"/>
          <w:sz w:val="24"/>
          <w:highlight w:val="none"/>
          <w:u w:val="single"/>
        </w:rPr>
        <w:t xml:space="preserve">             </w:t>
      </w:r>
    </w:p>
    <w:p w14:paraId="19E7A600">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t>格式1</w:t>
      </w:r>
      <w:bookmarkStart w:id="133" w:name="_Hlk73968874"/>
      <w:bookmarkStart w:id="134" w:name="_Hlk73969205"/>
      <w:r>
        <w:rPr>
          <w:rFonts w:hint="eastAsia" w:ascii="仿宋_GB2312" w:hAnsi="仿宋" w:eastAsia="仿宋_GB2312" w:cs="仿宋_GB2312"/>
          <w:color w:val="auto"/>
          <w:szCs w:val="28"/>
          <w:highlight w:val="none"/>
        </w:rPr>
        <w:t>7</w:t>
      </w:r>
    </w:p>
    <w:p w14:paraId="0853EF2B">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进口产品制造厂家的授权书（本项目不适用）</w:t>
      </w:r>
    </w:p>
    <w:p w14:paraId="2631FD0C">
      <w:pPr>
        <w:spacing w:line="360" w:lineRule="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u w:val="single"/>
        </w:rPr>
        <w:t>（采购人或采购组织机构）：</w:t>
      </w:r>
    </w:p>
    <w:p w14:paraId="2B01883B">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我们</w:t>
      </w:r>
      <w:r>
        <w:rPr>
          <w:rFonts w:hint="eastAsia" w:ascii="仿宋_GB2312" w:hAnsi="仿宋" w:eastAsia="仿宋_GB2312" w:cs="仿宋_GB2312"/>
          <w:color w:val="auto"/>
          <w:sz w:val="24"/>
          <w:szCs w:val="21"/>
          <w:highlight w:val="none"/>
          <w:u w:val="single"/>
        </w:rPr>
        <w:t>（制造商名称）</w:t>
      </w:r>
      <w:r>
        <w:rPr>
          <w:rFonts w:hint="eastAsia" w:ascii="仿宋_GB2312" w:hAnsi="仿宋" w:eastAsia="仿宋_GB2312" w:cs="仿宋_GB2312"/>
          <w:color w:val="auto"/>
          <w:sz w:val="24"/>
          <w:szCs w:val="21"/>
          <w:highlight w:val="none"/>
        </w:rPr>
        <w:t>是按</w:t>
      </w:r>
      <w:r>
        <w:rPr>
          <w:rFonts w:hint="eastAsia" w:ascii="仿宋_GB2312" w:hAnsi="仿宋" w:eastAsia="仿宋_GB2312" w:cs="仿宋_GB2312"/>
          <w:color w:val="auto"/>
          <w:sz w:val="24"/>
          <w:szCs w:val="21"/>
          <w:highlight w:val="none"/>
          <w:u w:val="single"/>
        </w:rPr>
        <w:t>（国家名称）</w:t>
      </w:r>
      <w:r>
        <w:rPr>
          <w:rFonts w:hint="eastAsia" w:ascii="仿宋_GB2312" w:hAnsi="仿宋" w:eastAsia="仿宋_GB2312" w:cs="仿宋_GB2312"/>
          <w:color w:val="auto"/>
          <w:sz w:val="24"/>
          <w:szCs w:val="21"/>
          <w:highlight w:val="none"/>
        </w:rPr>
        <w:t>法律成立的一家制造商，主要营业地点设在</w:t>
      </w:r>
      <w:r>
        <w:rPr>
          <w:rFonts w:hint="eastAsia" w:ascii="仿宋_GB2312" w:hAnsi="仿宋" w:eastAsia="仿宋_GB2312" w:cs="仿宋_GB2312"/>
          <w:color w:val="auto"/>
          <w:sz w:val="24"/>
          <w:szCs w:val="21"/>
          <w:highlight w:val="none"/>
          <w:u w:val="single"/>
        </w:rPr>
        <w:t>（制造商地址）</w:t>
      </w:r>
      <w:r>
        <w:rPr>
          <w:rFonts w:hint="eastAsia" w:ascii="仿宋_GB2312" w:hAnsi="仿宋" w:eastAsia="仿宋_GB2312" w:cs="仿宋_GB2312"/>
          <w:color w:val="auto"/>
          <w:sz w:val="24"/>
          <w:szCs w:val="21"/>
          <w:highlight w:val="none"/>
        </w:rPr>
        <w:t>。兹指派按</w:t>
      </w:r>
      <w:r>
        <w:rPr>
          <w:rFonts w:hint="eastAsia" w:ascii="仿宋_GB2312" w:hAnsi="仿宋" w:eastAsia="仿宋_GB2312" w:cs="仿宋_GB2312"/>
          <w:color w:val="auto"/>
          <w:sz w:val="24"/>
          <w:szCs w:val="21"/>
          <w:highlight w:val="none"/>
          <w:u w:val="single"/>
        </w:rPr>
        <w:t>（国家名称）</w:t>
      </w:r>
      <w:r>
        <w:rPr>
          <w:rFonts w:hint="eastAsia" w:ascii="仿宋_GB2312" w:hAnsi="仿宋" w:eastAsia="仿宋_GB2312" w:cs="仿宋_GB2312"/>
          <w:color w:val="auto"/>
          <w:sz w:val="24"/>
          <w:szCs w:val="21"/>
          <w:highlight w:val="none"/>
        </w:rPr>
        <w:t>的法律正式成立的，主要营业地点设在</w:t>
      </w:r>
      <w:r>
        <w:rPr>
          <w:rFonts w:hint="eastAsia" w:ascii="仿宋_GB2312" w:hAnsi="仿宋" w:eastAsia="仿宋_GB2312" w:cs="仿宋_GB2312"/>
          <w:color w:val="auto"/>
          <w:sz w:val="24"/>
          <w:szCs w:val="21"/>
          <w:highlight w:val="none"/>
          <w:u w:val="single"/>
        </w:rPr>
        <w:t>（投标人地址）</w:t>
      </w:r>
      <w:r>
        <w:rPr>
          <w:rFonts w:hint="eastAsia" w:ascii="仿宋_GB2312" w:hAnsi="仿宋" w:eastAsia="仿宋_GB2312" w:cs="仿宋_GB2312"/>
          <w:color w:val="auto"/>
          <w:sz w:val="24"/>
          <w:szCs w:val="21"/>
          <w:highlight w:val="none"/>
        </w:rPr>
        <w:t>的</w:t>
      </w:r>
      <w:r>
        <w:rPr>
          <w:rFonts w:hint="eastAsia" w:ascii="仿宋_GB2312" w:hAnsi="仿宋" w:eastAsia="仿宋_GB2312" w:cs="仿宋_GB2312"/>
          <w:color w:val="auto"/>
          <w:sz w:val="24"/>
          <w:szCs w:val="21"/>
          <w:highlight w:val="none"/>
          <w:u w:val="single"/>
        </w:rPr>
        <w:t>（投标人名称）</w:t>
      </w:r>
      <w:r>
        <w:rPr>
          <w:rFonts w:hint="eastAsia" w:ascii="仿宋_GB2312" w:hAnsi="仿宋" w:eastAsia="仿宋_GB2312" w:cs="仿宋_GB2312"/>
          <w:color w:val="auto"/>
          <w:sz w:val="24"/>
          <w:szCs w:val="21"/>
          <w:highlight w:val="none"/>
        </w:rPr>
        <w:t>作为我方真正的合法的代理人进行下列有效的活动：</w:t>
      </w:r>
    </w:p>
    <w:p w14:paraId="79E88F5D">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（1）代表我方办理贵方</w:t>
      </w:r>
      <w:r>
        <w:rPr>
          <w:rFonts w:hint="eastAsia" w:ascii="仿宋_GB2312" w:hAnsi="仿宋" w:eastAsia="仿宋_GB2312" w:cs="仿宋_GB2312"/>
          <w:color w:val="auto"/>
          <w:sz w:val="24"/>
          <w:szCs w:val="21"/>
          <w:highlight w:val="none"/>
          <w:u w:val="single"/>
        </w:rPr>
        <w:t>（项目编号、项目名称、包号）</w:t>
      </w:r>
      <w:r>
        <w:rPr>
          <w:rFonts w:hint="eastAsia" w:ascii="仿宋_GB2312" w:hAnsi="仿宋" w:eastAsia="仿宋_GB2312" w:cs="仿宋_GB2312"/>
          <w:color w:val="auto"/>
          <w:sz w:val="24"/>
          <w:szCs w:val="21"/>
          <w:highlight w:val="none"/>
        </w:rPr>
        <w:t>投标邀请要求提供的由我方制造的货物的有关事宜，并对我方具有约束力。</w:t>
      </w:r>
    </w:p>
    <w:p w14:paraId="23804110">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（2）作为制造商，我方保证以投标合作者来约束自己，并对该投标共同和分别承担招标文件中所规定的义务。</w:t>
      </w:r>
    </w:p>
    <w:p w14:paraId="057A26F6">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（3）我方兹授予</w:t>
      </w:r>
      <w:r>
        <w:rPr>
          <w:rFonts w:hint="eastAsia" w:ascii="仿宋_GB2312" w:hAnsi="仿宋" w:eastAsia="仿宋_GB2312" w:cs="仿宋_GB2312"/>
          <w:color w:val="auto"/>
          <w:sz w:val="24"/>
          <w:szCs w:val="21"/>
          <w:highlight w:val="none"/>
          <w:u w:val="single"/>
        </w:rPr>
        <w:t xml:space="preserve"> （投标人名称） </w:t>
      </w:r>
      <w:r>
        <w:rPr>
          <w:rFonts w:hint="eastAsia" w:ascii="仿宋_GB2312" w:hAnsi="仿宋" w:eastAsia="仿宋_GB2312" w:cs="仿宋_GB2312"/>
          <w:color w:val="auto"/>
          <w:sz w:val="24"/>
          <w:szCs w:val="21"/>
          <w:highlight w:val="none"/>
        </w:rPr>
        <w:t xml:space="preserve">全权办理和履行上述我方为完成上述各点所必须的事宜，具有替换或撤销的全权。兹确认 </w:t>
      </w:r>
      <w:r>
        <w:rPr>
          <w:rFonts w:hint="eastAsia" w:ascii="仿宋_GB2312" w:hAnsi="仿宋" w:eastAsia="仿宋_GB2312" w:cs="仿宋_GB2312"/>
          <w:color w:val="auto"/>
          <w:sz w:val="24"/>
          <w:szCs w:val="21"/>
          <w:highlight w:val="none"/>
          <w:u w:val="single"/>
        </w:rPr>
        <w:t xml:space="preserve">（投标人名称） </w:t>
      </w:r>
      <w:r>
        <w:rPr>
          <w:rFonts w:hint="eastAsia" w:ascii="仿宋_GB2312" w:hAnsi="仿宋" w:eastAsia="仿宋_GB2312" w:cs="仿宋_GB2312"/>
          <w:color w:val="auto"/>
          <w:sz w:val="24"/>
          <w:szCs w:val="21"/>
          <w:highlight w:val="none"/>
        </w:rPr>
        <w:t>或其正式授权代表依此合法地办理一切事宜。</w:t>
      </w:r>
    </w:p>
    <w:p w14:paraId="635E3BBB">
      <w:pPr>
        <w:spacing w:line="360" w:lineRule="auto"/>
        <w:ind w:firstLine="480" w:firstLineChars="200"/>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（4）我方于</w:t>
      </w:r>
      <w:r>
        <w:rPr>
          <w:rFonts w:hint="eastAsia" w:ascii="仿宋_GB2312" w:hAnsi="仿宋" w:eastAsia="仿宋_GB2312" w:cs="仿宋_GB2312"/>
          <w:color w:val="auto"/>
          <w:sz w:val="24"/>
          <w:szCs w:val="21"/>
          <w:highlight w:val="none"/>
          <w:u w:val="single"/>
        </w:rPr>
        <w:t xml:space="preserve"> 年 月 日</w:t>
      </w:r>
      <w:r>
        <w:rPr>
          <w:rFonts w:hint="eastAsia" w:ascii="仿宋_GB2312" w:hAnsi="仿宋" w:eastAsia="仿宋_GB2312" w:cs="仿宋_GB2312"/>
          <w:color w:val="auto"/>
          <w:sz w:val="24"/>
          <w:szCs w:val="21"/>
          <w:highlight w:val="none"/>
        </w:rPr>
        <w:t>签署本文件，</w:t>
      </w:r>
      <w:r>
        <w:rPr>
          <w:rFonts w:hint="eastAsia" w:ascii="仿宋_GB2312" w:hAnsi="仿宋" w:eastAsia="仿宋_GB2312" w:cs="仿宋_GB2312"/>
          <w:color w:val="auto"/>
          <w:sz w:val="24"/>
          <w:szCs w:val="21"/>
          <w:highlight w:val="none"/>
          <w:u w:val="single"/>
        </w:rPr>
        <w:t xml:space="preserve"> （投标人名称）</w:t>
      </w:r>
      <w:r>
        <w:rPr>
          <w:rFonts w:hint="eastAsia" w:ascii="仿宋_GB2312" w:hAnsi="仿宋" w:eastAsia="仿宋_GB2312" w:cs="仿宋_GB2312"/>
          <w:color w:val="auto"/>
          <w:sz w:val="24"/>
          <w:szCs w:val="21"/>
          <w:highlight w:val="none"/>
        </w:rPr>
        <w:t>于</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年</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月</w:t>
      </w:r>
      <w:r>
        <w:rPr>
          <w:rFonts w:hint="eastAsia"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rPr>
        <w:t>日接受此件，以此为证。</w:t>
      </w:r>
    </w:p>
    <w:p w14:paraId="24490AA6">
      <w:pPr>
        <w:spacing w:line="360" w:lineRule="auto"/>
        <w:ind w:firstLine="480" w:firstLineChars="200"/>
        <w:rPr>
          <w:rFonts w:ascii="仿宋_GB2312" w:hAnsi="仿宋" w:eastAsia="仿宋_GB2312" w:cs="仿宋_GB2312"/>
          <w:color w:val="auto"/>
          <w:sz w:val="24"/>
          <w:szCs w:val="21"/>
          <w:highlight w:val="none"/>
        </w:rPr>
      </w:pPr>
    </w:p>
    <w:p w14:paraId="0AD0C923">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制造商名称（加盖单位公章）：</w:t>
      </w:r>
      <w:r>
        <w:rPr>
          <w:rFonts w:hint="eastAsia" w:ascii="仿宋_GB2312" w:hAnsi="仿宋" w:eastAsia="仿宋_GB2312" w:cs="仿宋_GB2312"/>
          <w:color w:val="auto"/>
          <w:sz w:val="24"/>
          <w:szCs w:val="21"/>
          <w:highlight w:val="none"/>
          <w:u w:val="single"/>
        </w:rPr>
        <w:t xml:space="preserve">               </w:t>
      </w:r>
    </w:p>
    <w:p w14:paraId="5EC7E6C8">
      <w:pPr>
        <w:spacing w:line="360" w:lineRule="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签字人职务和部门：</w:t>
      </w:r>
      <w:r>
        <w:rPr>
          <w:rFonts w:hint="eastAsia" w:ascii="仿宋_GB2312" w:hAnsi="仿宋" w:eastAsia="仿宋_GB2312" w:cs="仿宋_GB2312"/>
          <w:color w:val="auto"/>
          <w:sz w:val="24"/>
          <w:szCs w:val="21"/>
          <w:highlight w:val="none"/>
          <w:u w:val="single"/>
        </w:rPr>
        <w:t xml:space="preserve">                         </w:t>
      </w:r>
    </w:p>
    <w:p w14:paraId="1131B710">
      <w:pPr>
        <w:spacing w:line="360" w:lineRule="auto"/>
        <w:rPr>
          <w:rFonts w:ascii="仿宋_GB2312" w:hAnsi="仿宋" w:eastAsia="仿宋_GB2312" w:cs="仿宋_GB2312"/>
          <w:color w:val="auto"/>
          <w:sz w:val="24"/>
          <w:szCs w:val="21"/>
          <w:highlight w:val="none"/>
        </w:rPr>
      </w:pPr>
      <w:r>
        <w:rPr>
          <w:rFonts w:hint="eastAsia" w:ascii="仿宋_GB2312" w:hAnsi="仿宋" w:eastAsia="仿宋_GB2312" w:cs="仿宋_GB2312"/>
          <w:color w:val="auto"/>
          <w:sz w:val="24"/>
          <w:szCs w:val="21"/>
          <w:highlight w:val="none"/>
        </w:rPr>
        <w:t>签字人姓名：</w:t>
      </w:r>
      <w:r>
        <w:rPr>
          <w:rFonts w:hint="eastAsia" w:ascii="仿宋_GB2312" w:hAnsi="仿宋" w:eastAsia="仿宋_GB2312" w:cs="仿宋_GB2312"/>
          <w:color w:val="auto"/>
          <w:sz w:val="24"/>
          <w:szCs w:val="21"/>
          <w:highlight w:val="none"/>
          <w:u w:val="single"/>
        </w:rPr>
        <w:t xml:space="preserve">                               </w:t>
      </w:r>
    </w:p>
    <w:p w14:paraId="5D820D08">
      <w:pPr>
        <w:spacing w:line="360" w:lineRule="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签字人（签字）：</w:t>
      </w:r>
      <w:r>
        <w:rPr>
          <w:rFonts w:hint="eastAsia" w:ascii="仿宋_GB2312" w:hAnsi="仿宋" w:eastAsia="仿宋_GB2312" w:cs="仿宋_GB2312"/>
          <w:color w:val="auto"/>
          <w:sz w:val="24"/>
          <w:szCs w:val="21"/>
          <w:highlight w:val="none"/>
          <w:u w:val="single"/>
        </w:rPr>
        <w:t xml:space="preserve">                           </w:t>
      </w:r>
    </w:p>
    <w:p w14:paraId="0307A2E3">
      <w:pPr>
        <w:spacing w:line="360" w:lineRule="auto"/>
        <w:rPr>
          <w:rFonts w:ascii="仿宋_GB2312" w:hAnsi="仿宋" w:eastAsia="仿宋_GB2312" w:cs="仿宋_GB2312"/>
          <w:color w:val="auto"/>
          <w:sz w:val="24"/>
          <w:szCs w:val="21"/>
          <w:highlight w:val="none"/>
          <w:u w:val="single"/>
        </w:rPr>
      </w:pPr>
      <w:r>
        <w:rPr>
          <w:rFonts w:hint="eastAsia" w:ascii="仿宋_GB2312" w:hAnsi="仿宋" w:eastAsia="仿宋_GB2312" w:cs="仿宋_GB2312"/>
          <w:color w:val="auto"/>
          <w:sz w:val="24"/>
          <w:szCs w:val="21"/>
          <w:highlight w:val="none"/>
        </w:rPr>
        <w:t>日  期：</w:t>
      </w:r>
      <w:r>
        <w:rPr>
          <w:rFonts w:hint="eastAsia" w:ascii="仿宋_GB2312" w:hAnsi="仿宋" w:eastAsia="仿宋_GB2312" w:cs="仿宋_GB2312"/>
          <w:color w:val="auto"/>
          <w:sz w:val="24"/>
          <w:szCs w:val="21"/>
          <w:highlight w:val="none"/>
          <w:u w:val="single"/>
        </w:rPr>
        <w:t xml:space="preserve">                         </w:t>
      </w:r>
      <w:r>
        <w:rPr>
          <w:rFonts w:ascii="仿宋_GB2312" w:hAnsi="仿宋" w:eastAsia="仿宋_GB2312" w:cs="仿宋_GB2312"/>
          <w:color w:val="auto"/>
          <w:sz w:val="24"/>
          <w:szCs w:val="21"/>
          <w:highlight w:val="none"/>
          <w:u w:val="single"/>
        </w:rPr>
        <w:t xml:space="preserve"> </w:t>
      </w:r>
      <w:r>
        <w:rPr>
          <w:rFonts w:hint="eastAsia" w:ascii="仿宋_GB2312" w:hAnsi="仿宋" w:eastAsia="仿宋_GB2312" w:cs="仿宋_GB2312"/>
          <w:color w:val="auto"/>
          <w:sz w:val="24"/>
          <w:szCs w:val="21"/>
          <w:highlight w:val="none"/>
          <w:u w:val="single"/>
        </w:rPr>
        <w:t xml:space="preserve">         </w:t>
      </w:r>
    </w:p>
    <w:p w14:paraId="49D0E6E9">
      <w:pPr>
        <w:spacing w:line="360" w:lineRule="auto"/>
        <w:ind w:firstLine="480" w:firstLineChars="200"/>
        <w:rPr>
          <w:rFonts w:ascii="仿宋_GB2312" w:hAnsi="仿宋" w:eastAsia="仿宋_GB2312" w:cs="仿宋_GB2312"/>
          <w:color w:val="auto"/>
          <w:sz w:val="24"/>
          <w:szCs w:val="21"/>
          <w:highlight w:val="none"/>
        </w:rPr>
      </w:pPr>
    </w:p>
    <w:p w14:paraId="3A20E6D6">
      <w:pPr>
        <w:spacing w:line="360" w:lineRule="auto"/>
        <w:ind w:firstLine="480" w:firstLineChars="200"/>
        <w:rPr>
          <w:rFonts w:ascii="仿宋_GB2312" w:hAnsi="仿宋" w:eastAsia="仿宋_GB2312" w:cs="仿宋_GB2312"/>
          <w:color w:val="auto"/>
          <w:sz w:val="24"/>
          <w:szCs w:val="21"/>
          <w:highlight w:val="none"/>
        </w:rPr>
      </w:pPr>
      <w:bookmarkStart w:id="135" w:name="_Hlk73968990"/>
      <w:r>
        <w:rPr>
          <w:rFonts w:hint="eastAsia" w:ascii="仿宋_GB2312" w:hAnsi="仿宋" w:eastAsia="仿宋_GB2312" w:cs="仿宋_GB2312"/>
          <w:color w:val="auto"/>
          <w:sz w:val="24"/>
          <w:szCs w:val="21"/>
          <w:highlight w:val="none"/>
        </w:rPr>
        <w:t>（以上格式仅供参考，投标人就以上内容自拟格式，但必须体现出制造商名称及地址、被授权单位名称及地址，授权事项中要求明确体现出制造商同意对投标人提供其制造的货物及相关伴随服务等内容。）</w:t>
      </w:r>
    </w:p>
    <w:bookmarkEnd w:id="135"/>
    <w:p w14:paraId="65AE6751">
      <w:pPr>
        <w:rPr>
          <w:color w:val="auto"/>
          <w:highlight w:val="none"/>
        </w:rPr>
      </w:pPr>
    </w:p>
    <w:bookmarkEnd w:id="133"/>
    <w:bookmarkEnd w:id="134"/>
    <w:p w14:paraId="19414B47">
      <w:pPr>
        <w:spacing w:line="360" w:lineRule="auto"/>
        <w:ind w:firstLine="480" w:firstLineChars="200"/>
        <w:rPr>
          <w:rFonts w:ascii="仿宋_GB2312" w:hAnsi="仿宋" w:eastAsia="仿宋_GB2312"/>
          <w:color w:val="auto"/>
          <w:sz w:val="24"/>
          <w:highlight w:val="none"/>
        </w:rPr>
      </w:pPr>
      <w:bookmarkStart w:id="136" w:name="_Toc6847_WPSOffice_Level2"/>
      <w:bookmarkStart w:id="137" w:name="_Toc13329_WPSOffice_Level2"/>
    </w:p>
    <w:p w14:paraId="1773CB2B">
      <w:pPr>
        <w:rPr>
          <w:color w:val="auto"/>
          <w:highlight w:val="none"/>
        </w:rPr>
      </w:pPr>
    </w:p>
    <w:bookmarkEnd w:id="136"/>
    <w:bookmarkEnd w:id="137"/>
    <w:p w14:paraId="35989104">
      <w:pPr>
        <w:pStyle w:val="3"/>
        <w:adjustRightInd w:val="0"/>
        <w:snapToGrid w:val="0"/>
        <w:spacing w:before="0" w:after="0"/>
        <w:jc w:val="left"/>
        <w:rPr>
          <w:rFonts w:ascii="仿宋_GB2312" w:eastAsia="仿宋_GB2312"/>
          <w:b w:val="0"/>
          <w:bCs/>
          <w:color w:val="auto"/>
          <w:szCs w:val="28"/>
          <w:highlight w:val="none"/>
        </w:rPr>
      </w:pPr>
      <w:r>
        <w:rPr>
          <w:rFonts w:hint="eastAsia" w:ascii="仿宋_GB2312" w:hAnsi="仿宋" w:eastAsia="仿宋_GB2312" w:cs="仿宋_GB2312"/>
          <w:color w:val="auto"/>
          <w:sz w:val="36"/>
          <w:szCs w:val="21"/>
          <w:highlight w:val="none"/>
        </w:rPr>
        <w:br w:type="page"/>
      </w:r>
      <w:r>
        <w:rPr>
          <w:rFonts w:hint="eastAsia" w:ascii="仿宋_GB2312" w:hAnsi="仿宋" w:eastAsia="仿宋_GB2312"/>
          <w:color w:val="auto"/>
          <w:highlight w:val="none"/>
        </w:rPr>
        <w:t>格式18</w:t>
      </w:r>
    </w:p>
    <w:p w14:paraId="71514EC1">
      <w:pPr>
        <w:snapToGrid w:val="0"/>
        <w:spacing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中小企业声明函（货物）</w:t>
      </w:r>
    </w:p>
    <w:p w14:paraId="20080E8B">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本公司郑重声明，根据《政府采购促进中小企业发展管理办法》（财库</w:t>
      </w:r>
      <w:r>
        <w:rPr>
          <w:rFonts w:hint="eastAsia" w:ascii="微软雅黑" w:hAnsi="微软雅黑" w:eastAsia="微软雅黑"/>
          <w:color w:val="auto"/>
          <w:sz w:val="24"/>
          <w:highlight w:val="none"/>
        </w:rPr>
        <w:t>﹝</w:t>
      </w:r>
      <w:r>
        <w:rPr>
          <w:rFonts w:hint="eastAsia" w:ascii="仿宋_GB2312" w:hAnsi="仿宋" w:eastAsia="仿宋_GB2312"/>
          <w:color w:val="auto"/>
          <w:sz w:val="24"/>
          <w:highlight w:val="none"/>
        </w:rPr>
        <w:t>2020</w:t>
      </w:r>
      <w:r>
        <w:rPr>
          <w:rFonts w:hint="eastAsia" w:ascii="微软雅黑" w:hAnsi="微软雅黑" w:eastAsia="微软雅黑"/>
          <w:color w:val="auto"/>
          <w:sz w:val="24"/>
          <w:highlight w:val="none"/>
        </w:rPr>
        <w:t>﹞</w:t>
      </w:r>
      <w:r>
        <w:rPr>
          <w:rFonts w:hint="eastAsia" w:ascii="仿宋_GB2312" w:hAnsi="仿宋" w:eastAsia="仿宋_GB2312"/>
          <w:color w:val="auto"/>
          <w:sz w:val="24"/>
          <w:highlight w:val="none"/>
        </w:rPr>
        <w:t>46 号）的规定，本公司参加</w:t>
      </w:r>
      <w:r>
        <w:rPr>
          <w:rFonts w:hint="eastAsia" w:ascii="仿宋_GB2312" w:hAnsi="仿宋" w:eastAsia="仿宋_GB2312"/>
          <w:color w:val="auto"/>
          <w:sz w:val="24"/>
          <w:highlight w:val="none"/>
          <w:u w:val="single"/>
        </w:rPr>
        <w:t xml:space="preserve">    （采购人名称） </w:t>
      </w:r>
      <w:r>
        <w:rPr>
          <w:rFonts w:hint="eastAsia" w:ascii="仿宋_GB2312" w:hAnsi="仿宋" w:eastAsia="仿宋_GB2312"/>
          <w:color w:val="auto"/>
          <w:sz w:val="24"/>
          <w:highlight w:val="none"/>
        </w:rPr>
        <w:t>的</w:t>
      </w:r>
      <w:r>
        <w:rPr>
          <w:rFonts w:hint="eastAsia" w:ascii="仿宋_GB2312" w:hAnsi="仿宋" w:eastAsia="仿宋_GB2312"/>
          <w:color w:val="auto"/>
          <w:sz w:val="24"/>
          <w:highlight w:val="none"/>
          <w:u w:val="single"/>
        </w:rPr>
        <w:t xml:space="preserve">    （项目名称） </w:t>
      </w:r>
      <w:r>
        <w:rPr>
          <w:rFonts w:hint="eastAsia" w:ascii="仿宋_GB2312" w:hAnsi="仿宋" w:eastAsia="仿宋_GB2312"/>
          <w:color w:val="auto"/>
          <w:sz w:val="24"/>
          <w:highlight w:val="none"/>
        </w:rPr>
        <w:t>采购活动，提供的货物全部由符合政策要求的中小企业制造。相关企业（含联合体中的中小企业、签订分包意向协议的中小企业）的具体情况如下：</w:t>
      </w:r>
    </w:p>
    <w:p w14:paraId="63AA6CB9">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1.</w:t>
      </w:r>
      <w:r>
        <w:rPr>
          <w:rFonts w:hint="eastAsia" w:ascii="仿宋_GB2312" w:hAnsi="仿宋" w:eastAsia="仿宋_GB2312"/>
          <w:color w:val="auto"/>
          <w:sz w:val="24"/>
          <w:highlight w:val="none"/>
          <w:u w:val="single"/>
        </w:rPr>
        <w:t xml:space="preserve">  （标的名称）</w:t>
      </w:r>
      <w:r>
        <w:rPr>
          <w:rFonts w:hint="eastAsia" w:ascii="仿宋_GB2312" w:hAnsi="仿宋" w:eastAsia="仿宋_GB2312"/>
          <w:color w:val="auto"/>
          <w:sz w:val="24"/>
          <w:highlight w:val="none"/>
        </w:rPr>
        <w:t>，属于</w:t>
      </w:r>
      <w:r>
        <w:rPr>
          <w:rFonts w:hint="eastAsia" w:ascii="仿宋_GB2312" w:hAnsi="仿宋" w:eastAsia="仿宋_GB2312"/>
          <w:color w:val="auto"/>
          <w:sz w:val="24"/>
          <w:highlight w:val="none"/>
          <w:u w:val="single"/>
        </w:rPr>
        <w:t xml:space="preserve">     （采购文件中明确的所属行业）</w:t>
      </w:r>
      <w:r>
        <w:rPr>
          <w:rFonts w:hint="eastAsia" w:ascii="仿宋_GB2312" w:hAnsi="仿宋" w:eastAsia="仿宋_GB2312"/>
          <w:color w:val="auto"/>
          <w:sz w:val="24"/>
          <w:highlight w:val="none"/>
        </w:rPr>
        <w:t>行业；制造商为</w:t>
      </w:r>
      <w:r>
        <w:rPr>
          <w:rFonts w:hint="eastAsia" w:ascii="仿宋_GB2312" w:hAnsi="仿宋" w:eastAsia="仿宋_GB2312"/>
          <w:color w:val="auto"/>
          <w:sz w:val="24"/>
          <w:highlight w:val="none"/>
          <w:u w:val="single"/>
        </w:rPr>
        <w:t xml:space="preserve">    （企业名称）</w:t>
      </w:r>
      <w:r>
        <w:rPr>
          <w:rFonts w:hint="eastAsia" w:ascii="仿宋_GB2312" w:hAnsi="仿宋" w:eastAsia="仿宋_GB2312"/>
          <w:color w:val="auto"/>
          <w:sz w:val="24"/>
          <w:highlight w:val="none"/>
        </w:rPr>
        <w:t>，从业人员</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人，营业收入为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万元，资产总额为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万元</w:t>
      </w:r>
      <w:r>
        <w:rPr>
          <w:rFonts w:hint="eastAsia" w:ascii="仿宋_GB2312" w:hAnsi="仿宋" w:eastAsia="仿宋_GB2312"/>
          <w:color w:val="auto"/>
          <w:sz w:val="24"/>
          <w:highlight w:val="none"/>
          <w:vertAlign w:val="superscript"/>
        </w:rPr>
        <w:t>1</w:t>
      </w:r>
      <w:r>
        <w:rPr>
          <w:rFonts w:hint="eastAsia" w:ascii="仿宋_GB2312" w:hAnsi="仿宋" w:eastAsia="仿宋_GB2312"/>
          <w:color w:val="auto"/>
          <w:sz w:val="24"/>
          <w:highlight w:val="none"/>
        </w:rPr>
        <w:t xml:space="preserve"> ，属于</w:t>
      </w:r>
      <w:r>
        <w:rPr>
          <w:rFonts w:hint="eastAsia" w:ascii="仿宋_GB2312" w:hAnsi="仿宋" w:eastAsia="仿宋_GB2312"/>
          <w:color w:val="auto"/>
          <w:sz w:val="24"/>
          <w:highlight w:val="none"/>
          <w:u w:val="single"/>
        </w:rPr>
        <w:t xml:space="preserve"> （中型企业、小型企业、微型企业）</w:t>
      </w:r>
      <w:r>
        <w:rPr>
          <w:rFonts w:hint="eastAsia" w:ascii="仿宋_GB2312" w:hAnsi="仿宋" w:eastAsia="仿宋_GB2312"/>
          <w:color w:val="auto"/>
          <w:sz w:val="24"/>
          <w:highlight w:val="none"/>
        </w:rPr>
        <w:t>；</w:t>
      </w:r>
    </w:p>
    <w:p w14:paraId="2B01D11A">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2.</w:t>
      </w:r>
      <w:r>
        <w:rPr>
          <w:rFonts w:hint="eastAsia" w:ascii="仿宋_GB2312" w:hAnsi="仿宋" w:eastAsia="仿宋_GB2312"/>
          <w:color w:val="auto"/>
          <w:sz w:val="24"/>
          <w:highlight w:val="none"/>
          <w:u w:val="single"/>
        </w:rPr>
        <w:t xml:space="preserve">  （标的名称）</w:t>
      </w:r>
      <w:r>
        <w:rPr>
          <w:rFonts w:hint="eastAsia" w:ascii="仿宋_GB2312" w:hAnsi="仿宋" w:eastAsia="仿宋_GB2312"/>
          <w:color w:val="auto"/>
          <w:sz w:val="24"/>
          <w:highlight w:val="none"/>
        </w:rPr>
        <w:t>，属于</w:t>
      </w:r>
      <w:r>
        <w:rPr>
          <w:rFonts w:hint="eastAsia" w:ascii="仿宋_GB2312" w:hAnsi="仿宋" w:eastAsia="仿宋_GB2312"/>
          <w:color w:val="auto"/>
          <w:sz w:val="24"/>
          <w:highlight w:val="none"/>
          <w:u w:val="single"/>
        </w:rPr>
        <w:t xml:space="preserve">     （采购文件中明确的所属行业）</w:t>
      </w:r>
      <w:r>
        <w:rPr>
          <w:rFonts w:hint="eastAsia" w:ascii="仿宋_GB2312" w:hAnsi="仿宋" w:eastAsia="仿宋_GB2312"/>
          <w:color w:val="auto"/>
          <w:sz w:val="24"/>
          <w:highlight w:val="none"/>
        </w:rPr>
        <w:t>行业；制造商为</w:t>
      </w:r>
      <w:r>
        <w:rPr>
          <w:rFonts w:hint="eastAsia" w:ascii="仿宋_GB2312" w:hAnsi="仿宋" w:eastAsia="仿宋_GB2312"/>
          <w:color w:val="auto"/>
          <w:sz w:val="24"/>
          <w:highlight w:val="none"/>
          <w:u w:val="single"/>
        </w:rPr>
        <w:t xml:space="preserve">    （企业名称）</w:t>
      </w:r>
      <w:r>
        <w:rPr>
          <w:rFonts w:hint="eastAsia" w:ascii="仿宋_GB2312" w:hAnsi="仿宋" w:eastAsia="仿宋_GB2312"/>
          <w:color w:val="auto"/>
          <w:sz w:val="24"/>
          <w:highlight w:val="none"/>
        </w:rPr>
        <w:t>，从业人员</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人，营业收入为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万元，资产总额为</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万元 ，属于</w:t>
      </w:r>
      <w:r>
        <w:rPr>
          <w:rFonts w:hint="eastAsia" w:ascii="仿宋_GB2312" w:hAnsi="仿宋" w:eastAsia="仿宋_GB2312"/>
          <w:color w:val="auto"/>
          <w:sz w:val="24"/>
          <w:highlight w:val="none"/>
          <w:u w:val="single"/>
        </w:rPr>
        <w:t xml:space="preserve"> （中型企业、小型企业、微型企业）</w:t>
      </w:r>
      <w:r>
        <w:rPr>
          <w:rFonts w:hint="eastAsia" w:ascii="仿宋_GB2312" w:hAnsi="仿宋" w:eastAsia="仿宋_GB2312"/>
          <w:color w:val="auto"/>
          <w:sz w:val="24"/>
          <w:highlight w:val="none"/>
        </w:rPr>
        <w:t>；</w:t>
      </w:r>
    </w:p>
    <w:p w14:paraId="3F69D755">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w:t>
      </w:r>
    </w:p>
    <w:p w14:paraId="6FEDC104">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以上企业，不属于大企业的分支机构，不存在控股股东为大企业的情形，也不存在与大企业的负责人为同一人的情形。</w:t>
      </w:r>
    </w:p>
    <w:p w14:paraId="7D38D9F0">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本企业对上述声明内容的真实性负责。如有虚假，将依法承担相应责任。</w:t>
      </w:r>
    </w:p>
    <w:p w14:paraId="5FF8F573">
      <w:pPr>
        <w:pStyle w:val="11"/>
        <w:ind w:firstLine="420"/>
        <w:rPr>
          <w:rFonts w:ascii="仿宋" w:hAnsi="仿宋"/>
          <w:color w:val="auto"/>
          <w:szCs w:val="21"/>
          <w:highlight w:val="none"/>
        </w:rPr>
      </w:pPr>
      <w:r>
        <w:rPr>
          <w:color w:val="auto"/>
          <w:highlight w:val="none"/>
        </w:rPr>
        <w:t xml:space="preserve"> </w:t>
      </w:r>
    </w:p>
    <w:p w14:paraId="1EB045B2">
      <w:pPr>
        <w:pStyle w:val="11"/>
        <w:ind w:firstLine="420"/>
        <w:rPr>
          <w:rFonts w:ascii="仿宋" w:hAnsi="仿宋"/>
          <w:color w:val="auto"/>
          <w:highlight w:val="none"/>
        </w:rPr>
      </w:pPr>
      <w:r>
        <w:rPr>
          <w:rFonts w:hint="eastAsia" w:ascii="仿宋" w:hAnsi="仿宋"/>
          <w:color w:val="auto"/>
          <w:highlight w:val="none"/>
        </w:rPr>
        <w:t xml:space="preserve"> </w:t>
      </w:r>
    </w:p>
    <w:p w14:paraId="7EEB2BA2">
      <w:pPr>
        <w:spacing w:line="360" w:lineRule="auto"/>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p>
    <w:p w14:paraId="28AC959B">
      <w:pPr>
        <w:adjustRightInd w:val="0"/>
        <w:snapToGrid w:val="0"/>
        <w:spacing w:line="480" w:lineRule="auto"/>
        <w:ind w:right="105" w:rightChars="5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企业名称（加盖单位公章）：</w:t>
      </w:r>
      <w:r>
        <w:rPr>
          <w:rFonts w:hint="eastAsia" w:ascii="仿宋_GB2312" w:hAnsi="仿宋" w:eastAsia="仿宋_GB2312"/>
          <w:color w:val="auto"/>
          <w:sz w:val="24"/>
          <w:highlight w:val="none"/>
          <w:u w:val="single"/>
        </w:rPr>
        <w:t xml:space="preserve">              </w:t>
      </w:r>
    </w:p>
    <w:p w14:paraId="48ABDE41">
      <w:pPr>
        <w:adjustRightInd w:val="0"/>
        <w:snapToGrid w:val="0"/>
        <w:spacing w:line="480" w:lineRule="auto"/>
        <w:ind w:right="105" w:rightChars="50"/>
        <w:jc w:val="left"/>
        <w:rPr>
          <w:rFonts w:ascii="仿宋_GB2312" w:hAnsi="仿宋" w:eastAsia="仿宋_GB2312"/>
          <w:color w:val="auto"/>
          <w:sz w:val="24"/>
          <w:highlight w:val="none"/>
          <w:u w:val="single"/>
        </w:rPr>
      </w:pPr>
      <w:r>
        <w:rPr>
          <w:rFonts w:hint="eastAsia" w:ascii="仿宋_GB2312" w:hAnsi="仿宋" w:eastAsia="仿宋_GB2312"/>
          <w:color w:val="auto"/>
          <w:sz w:val="24"/>
          <w:highlight w:val="none"/>
        </w:rPr>
        <w:t>日      期：</w:t>
      </w:r>
      <w:r>
        <w:rPr>
          <w:rFonts w:hint="eastAsia" w:ascii="仿宋_GB2312" w:hAnsi="仿宋" w:eastAsia="仿宋_GB2312"/>
          <w:color w:val="auto"/>
          <w:sz w:val="24"/>
          <w:highlight w:val="none"/>
          <w:u w:val="single"/>
        </w:rPr>
        <w:t xml:space="preserve">             </w:t>
      </w:r>
    </w:p>
    <w:p w14:paraId="127C41A7">
      <w:pPr>
        <w:adjustRightInd w:val="0"/>
        <w:snapToGrid w:val="0"/>
        <w:spacing w:line="480" w:lineRule="auto"/>
        <w:ind w:right="105" w:rightChars="50" w:firstLine="440" w:firstLineChars="200"/>
        <w:jc w:val="left"/>
        <w:rPr>
          <w:rFonts w:ascii="仿宋_GB2312" w:hAnsi="仿宋" w:eastAsia="仿宋_GB2312"/>
          <w:b/>
          <w:color w:val="auto"/>
          <w:sz w:val="22"/>
          <w:szCs w:val="22"/>
          <w:highlight w:val="none"/>
        </w:rPr>
      </w:pPr>
    </w:p>
    <w:p w14:paraId="154E89F5">
      <w:pPr>
        <w:adjustRightInd w:val="0"/>
        <w:snapToGrid w:val="0"/>
        <w:spacing w:line="480" w:lineRule="auto"/>
        <w:ind w:right="105" w:rightChars="50" w:firstLine="440" w:firstLineChars="200"/>
        <w:jc w:val="left"/>
        <w:rPr>
          <w:rFonts w:ascii="仿宋_GB2312" w:hAnsi="仿宋" w:eastAsia="仿宋_GB2312"/>
          <w:b/>
          <w:color w:val="auto"/>
          <w:sz w:val="22"/>
          <w:szCs w:val="22"/>
          <w:highlight w:val="none"/>
        </w:rPr>
      </w:pPr>
      <w:r>
        <w:rPr>
          <w:rFonts w:hint="eastAsia" w:ascii="仿宋_GB2312" w:hAnsi="仿宋" w:eastAsia="仿宋_GB2312"/>
          <w:b/>
          <w:color w:val="auto"/>
          <w:sz w:val="22"/>
          <w:szCs w:val="22"/>
          <w:highlight w:val="none"/>
        </w:rPr>
        <w:t>1从业人员、营业收入、资产总额填报上一年度数据，无上一年度数据的新成立企业可不填报。</w:t>
      </w:r>
    </w:p>
    <w:p w14:paraId="5B6415DD">
      <w:pPr>
        <w:pStyle w:val="3"/>
        <w:adjustRightInd w:val="0"/>
        <w:snapToGrid w:val="0"/>
        <w:spacing w:before="0" w:after="0" w:line="240" w:lineRule="auto"/>
        <w:jc w:val="left"/>
        <w:rPr>
          <w:rFonts w:ascii="仿宋_GB2312" w:hAnsi="仿宋" w:eastAsia="仿宋_GB2312" w:cs="仿宋_GB2312"/>
          <w:color w:val="auto"/>
          <w:szCs w:val="28"/>
          <w:highlight w:val="none"/>
        </w:rPr>
        <w:sectPr>
          <w:pgSz w:w="11906" w:h="16838"/>
          <w:pgMar w:top="1468" w:right="1803" w:bottom="1418" w:left="1803" w:header="851" w:footer="899" w:gutter="0"/>
          <w:pgBorders>
            <w:top w:val="none" w:sz="0" w:space="0"/>
            <w:left w:val="none" w:sz="0" w:space="0"/>
            <w:bottom w:val="none" w:sz="0" w:space="0"/>
            <w:right w:val="none" w:sz="0" w:space="0"/>
          </w:pgBorders>
          <w:cols w:space="720" w:num="1"/>
          <w:docGrid w:type="linesAndChars" w:linePitch="319" w:charSpace="0"/>
        </w:sectPr>
      </w:pPr>
    </w:p>
    <w:p w14:paraId="464D01D1">
      <w:pPr>
        <w:pStyle w:val="3"/>
        <w:adjustRightInd w:val="0"/>
        <w:snapToGrid w:val="0"/>
        <w:spacing w:before="0" w:after="0"/>
        <w:jc w:val="left"/>
        <w:rPr>
          <w:rFonts w:hint="default" w:ascii="仿宋_GB2312" w:hAnsi="仿宋" w:eastAsia="仿宋_GB2312" w:cs="Arial"/>
          <w:color w:val="auto"/>
          <w:szCs w:val="28"/>
          <w:highlight w:val="none"/>
          <w:lang w:val="en-US" w:eastAsia="zh-CN"/>
        </w:rPr>
      </w:pPr>
      <w:r>
        <w:rPr>
          <w:rFonts w:hint="eastAsia" w:ascii="仿宋_GB2312" w:hAnsi="仿宋" w:eastAsia="仿宋_GB2312"/>
          <w:color w:val="auto"/>
          <w:highlight w:val="none"/>
        </w:rPr>
        <w:t>格式</w:t>
      </w:r>
      <w:r>
        <w:rPr>
          <w:rFonts w:hint="eastAsia" w:ascii="仿宋_GB2312" w:hAnsi="仿宋" w:eastAsia="仿宋_GB2312"/>
          <w:color w:val="auto"/>
          <w:highlight w:val="none"/>
          <w:lang w:val="en-US" w:eastAsia="zh-CN"/>
        </w:rPr>
        <w:t>19</w:t>
      </w:r>
    </w:p>
    <w:p w14:paraId="79CA9ED8">
      <w:pPr>
        <w:snapToGrid w:val="0"/>
        <w:spacing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残疾人福利性单位声明函</w:t>
      </w:r>
    </w:p>
    <w:p w14:paraId="29C22ACE">
      <w:pPr>
        <w:adjustRightInd w:val="0"/>
        <w:snapToGrid w:val="0"/>
        <w:spacing w:line="360" w:lineRule="auto"/>
        <w:ind w:right="105" w:rightChars="50" w:firstLine="544" w:firstLineChars="227"/>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本单位郑重声明，根据《财政部 民政部 中国残疾人联合会关于促进残疾人就业政府采购政策的通知》（财库〔2017〕141 号）的规定，本单位为符合条件的残疾人福利性单位，且本单位参加</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单位的</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603FCDB3">
      <w:pPr>
        <w:adjustRightInd w:val="0"/>
        <w:snapToGrid w:val="0"/>
        <w:spacing w:line="360" w:lineRule="auto"/>
        <w:ind w:right="105" w:rightChars="50" w:firstLine="544" w:firstLineChars="227"/>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本单位对上述声明的真实性负责。如有虚假，将依法承担相应责任。</w:t>
      </w:r>
    </w:p>
    <w:tbl>
      <w:tblPr>
        <w:tblStyle w:val="25"/>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3"/>
        <w:gridCol w:w="1582"/>
        <w:gridCol w:w="1587"/>
        <w:gridCol w:w="1427"/>
        <w:gridCol w:w="1427"/>
        <w:gridCol w:w="1344"/>
      </w:tblGrid>
      <w:tr w14:paraId="7905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56" w:hRule="atLeast"/>
        </w:trPr>
        <w:tc>
          <w:tcPr>
            <w:tcW w:w="953" w:type="dxa"/>
            <w:tcBorders>
              <w:top w:val="single" w:color="auto" w:sz="4" w:space="0"/>
              <w:left w:val="single" w:color="auto" w:sz="4" w:space="0"/>
              <w:bottom w:val="single" w:color="auto" w:sz="4" w:space="0"/>
              <w:right w:val="single" w:color="auto" w:sz="4" w:space="0"/>
            </w:tcBorders>
            <w:vAlign w:val="center"/>
          </w:tcPr>
          <w:p w14:paraId="7EE97F02">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序号</w:t>
            </w:r>
          </w:p>
        </w:tc>
        <w:tc>
          <w:tcPr>
            <w:tcW w:w="1582" w:type="dxa"/>
            <w:tcBorders>
              <w:top w:val="single" w:color="auto" w:sz="4" w:space="0"/>
              <w:left w:val="nil"/>
              <w:bottom w:val="single" w:color="auto" w:sz="4" w:space="0"/>
              <w:right w:val="single" w:color="auto" w:sz="4" w:space="0"/>
            </w:tcBorders>
            <w:vAlign w:val="center"/>
          </w:tcPr>
          <w:p w14:paraId="0677DA40">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品  名</w:t>
            </w:r>
          </w:p>
        </w:tc>
        <w:tc>
          <w:tcPr>
            <w:tcW w:w="1587" w:type="dxa"/>
            <w:tcBorders>
              <w:top w:val="single" w:color="auto" w:sz="4" w:space="0"/>
              <w:left w:val="nil"/>
              <w:bottom w:val="single" w:color="auto" w:sz="4" w:space="0"/>
              <w:right w:val="single" w:color="auto" w:sz="4" w:space="0"/>
            </w:tcBorders>
            <w:vAlign w:val="center"/>
          </w:tcPr>
          <w:p w14:paraId="6E9F6EC7">
            <w:pPr>
              <w:widowControl/>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数量</w:t>
            </w:r>
          </w:p>
        </w:tc>
        <w:tc>
          <w:tcPr>
            <w:tcW w:w="1427" w:type="dxa"/>
            <w:tcBorders>
              <w:top w:val="single" w:color="auto" w:sz="4" w:space="0"/>
              <w:left w:val="nil"/>
              <w:bottom w:val="single" w:color="auto" w:sz="4" w:space="0"/>
              <w:right w:val="single" w:color="auto" w:sz="4" w:space="0"/>
            </w:tcBorders>
            <w:vAlign w:val="center"/>
          </w:tcPr>
          <w:p w14:paraId="35EC5E3A">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规格</w:t>
            </w:r>
          </w:p>
          <w:p w14:paraId="611C7AFA">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型号</w:t>
            </w:r>
          </w:p>
        </w:tc>
        <w:tc>
          <w:tcPr>
            <w:tcW w:w="1427" w:type="dxa"/>
            <w:tcBorders>
              <w:top w:val="single" w:color="auto" w:sz="4" w:space="0"/>
              <w:left w:val="nil"/>
              <w:bottom w:val="single" w:color="auto" w:sz="4" w:space="0"/>
              <w:right w:val="single" w:color="auto" w:sz="4" w:space="0"/>
            </w:tcBorders>
            <w:vAlign w:val="center"/>
          </w:tcPr>
          <w:p w14:paraId="48F4C149">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生产</w:t>
            </w:r>
          </w:p>
          <w:p w14:paraId="4FBAFDD1">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厂家</w:t>
            </w:r>
          </w:p>
        </w:tc>
        <w:tc>
          <w:tcPr>
            <w:tcW w:w="1344" w:type="dxa"/>
            <w:tcBorders>
              <w:top w:val="single" w:color="auto" w:sz="4" w:space="0"/>
              <w:left w:val="nil"/>
              <w:bottom w:val="single" w:color="auto" w:sz="4" w:space="0"/>
              <w:right w:val="single" w:color="auto" w:sz="4" w:space="0"/>
            </w:tcBorders>
            <w:vAlign w:val="center"/>
          </w:tcPr>
          <w:p w14:paraId="0796647C">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备注</w:t>
            </w:r>
          </w:p>
        </w:tc>
      </w:tr>
      <w:tr w14:paraId="1A64E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tcBorders>
              <w:top w:val="single" w:color="auto" w:sz="4" w:space="0"/>
              <w:left w:val="single" w:color="auto" w:sz="4" w:space="0"/>
              <w:bottom w:val="single" w:color="auto" w:sz="4" w:space="0"/>
              <w:right w:val="single" w:color="auto" w:sz="4" w:space="0"/>
            </w:tcBorders>
            <w:vAlign w:val="center"/>
          </w:tcPr>
          <w:p w14:paraId="0EB2CDD2">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1</w:t>
            </w:r>
          </w:p>
        </w:tc>
        <w:tc>
          <w:tcPr>
            <w:tcW w:w="1582" w:type="dxa"/>
            <w:tcBorders>
              <w:top w:val="single" w:color="auto" w:sz="4" w:space="0"/>
              <w:left w:val="nil"/>
              <w:bottom w:val="single" w:color="auto" w:sz="4" w:space="0"/>
              <w:right w:val="single" w:color="auto" w:sz="4" w:space="0"/>
            </w:tcBorders>
            <w:vAlign w:val="center"/>
          </w:tcPr>
          <w:p w14:paraId="62E57402">
            <w:pPr>
              <w:jc w:val="center"/>
              <w:rPr>
                <w:rFonts w:ascii="仿宋_GB2312" w:hAnsi="仿宋" w:eastAsia="仿宋_GB2312"/>
                <w:color w:val="auto"/>
                <w:sz w:val="24"/>
                <w:highlight w:val="none"/>
              </w:rPr>
            </w:pPr>
          </w:p>
        </w:tc>
        <w:tc>
          <w:tcPr>
            <w:tcW w:w="1587" w:type="dxa"/>
            <w:tcBorders>
              <w:top w:val="single" w:color="auto" w:sz="4" w:space="0"/>
              <w:left w:val="nil"/>
              <w:bottom w:val="single" w:color="auto" w:sz="4" w:space="0"/>
              <w:right w:val="single" w:color="auto" w:sz="4" w:space="0"/>
            </w:tcBorders>
            <w:vAlign w:val="center"/>
          </w:tcPr>
          <w:p w14:paraId="66258335">
            <w:pPr>
              <w:jc w:val="center"/>
              <w:rPr>
                <w:rFonts w:ascii="仿宋_GB2312" w:hAnsi="仿宋" w:eastAsia="仿宋_GB2312"/>
                <w:color w:val="auto"/>
                <w:sz w:val="24"/>
                <w:highlight w:val="none"/>
              </w:rPr>
            </w:pPr>
          </w:p>
        </w:tc>
        <w:tc>
          <w:tcPr>
            <w:tcW w:w="1427" w:type="dxa"/>
            <w:tcBorders>
              <w:top w:val="single" w:color="auto" w:sz="4" w:space="0"/>
              <w:left w:val="nil"/>
              <w:bottom w:val="single" w:color="auto" w:sz="4" w:space="0"/>
              <w:right w:val="single" w:color="auto" w:sz="4" w:space="0"/>
            </w:tcBorders>
            <w:vAlign w:val="center"/>
          </w:tcPr>
          <w:p w14:paraId="3E64B9AB">
            <w:pPr>
              <w:jc w:val="center"/>
              <w:rPr>
                <w:rFonts w:ascii="仿宋_GB2312" w:hAnsi="仿宋" w:eastAsia="仿宋_GB2312"/>
                <w:color w:val="auto"/>
                <w:sz w:val="24"/>
                <w:highlight w:val="none"/>
              </w:rPr>
            </w:pPr>
          </w:p>
        </w:tc>
        <w:tc>
          <w:tcPr>
            <w:tcW w:w="1427" w:type="dxa"/>
            <w:tcBorders>
              <w:top w:val="single" w:color="auto" w:sz="4" w:space="0"/>
              <w:left w:val="nil"/>
              <w:bottom w:val="single" w:color="auto" w:sz="4" w:space="0"/>
              <w:right w:val="single" w:color="auto" w:sz="4" w:space="0"/>
            </w:tcBorders>
            <w:vAlign w:val="center"/>
          </w:tcPr>
          <w:p w14:paraId="7B8FD6A7">
            <w:pPr>
              <w:jc w:val="center"/>
              <w:rPr>
                <w:rFonts w:ascii="仿宋_GB2312" w:hAnsi="仿宋" w:eastAsia="仿宋_GB2312"/>
                <w:color w:val="auto"/>
                <w:sz w:val="24"/>
                <w:highlight w:val="none"/>
              </w:rPr>
            </w:pPr>
          </w:p>
        </w:tc>
        <w:tc>
          <w:tcPr>
            <w:tcW w:w="1344" w:type="dxa"/>
            <w:tcBorders>
              <w:top w:val="single" w:color="auto" w:sz="4" w:space="0"/>
              <w:left w:val="nil"/>
              <w:bottom w:val="single" w:color="auto" w:sz="4" w:space="0"/>
              <w:right w:val="single" w:color="auto" w:sz="4" w:space="0"/>
            </w:tcBorders>
            <w:vAlign w:val="center"/>
          </w:tcPr>
          <w:p w14:paraId="14CA857F">
            <w:pPr>
              <w:spacing w:line="360" w:lineRule="auto"/>
              <w:rPr>
                <w:rFonts w:ascii="仿宋_GB2312" w:hAnsi="仿宋" w:eastAsia="仿宋_GB2312"/>
                <w:color w:val="auto"/>
                <w:sz w:val="24"/>
                <w:highlight w:val="none"/>
              </w:rPr>
            </w:pPr>
          </w:p>
        </w:tc>
      </w:tr>
      <w:tr w14:paraId="4FD3D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tcBorders>
              <w:top w:val="single" w:color="auto" w:sz="4" w:space="0"/>
              <w:left w:val="single" w:color="auto" w:sz="4" w:space="0"/>
              <w:bottom w:val="single" w:color="auto" w:sz="4" w:space="0"/>
              <w:right w:val="single" w:color="auto" w:sz="4" w:space="0"/>
            </w:tcBorders>
            <w:vAlign w:val="center"/>
          </w:tcPr>
          <w:p w14:paraId="1A8AD7FF">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2</w:t>
            </w:r>
          </w:p>
        </w:tc>
        <w:tc>
          <w:tcPr>
            <w:tcW w:w="1582" w:type="dxa"/>
            <w:tcBorders>
              <w:top w:val="single" w:color="auto" w:sz="4" w:space="0"/>
              <w:left w:val="nil"/>
              <w:bottom w:val="single" w:color="auto" w:sz="4" w:space="0"/>
              <w:right w:val="single" w:color="auto" w:sz="4" w:space="0"/>
            </w:tcBorders>
            <w:vAlign w:val="center"/>
          </w:tcPr>
          <w:p w14:paraId="4A4CEF4B">
            <w:pPr>
              <w:jc w:val="center"/>
              <w:rPr>
                <w:rFonts w:ascii="仿宋_GB2312" w:hAnsi="仿宋" w:eastAsia="仿宋_GB2312"/>
                <w:color w:val="auto"/>
                <w:sz w:val="24"/>
                <w:highlight w:val="none"/>
              </w:rPr>
            </w:pPr>
          </w:p>
        </w:tc>
        <w:tc>
          <w:tcPr>
            <w:tcW w:w="1587" w:type="dxa"/>
            <w:tcBorders>
              <w:top w:val="single" w:color="auto" w:sz="4" w:space="0"/>
              <w:left w:val="nil"/>
              <w:bottom w:val="single" w:color="auto" w:sz="4" w:space="0"/>
              <w:right w:val="single" w:color="auto" w:sz="4" w:space="0"/>
            </w:tcBorders>
            <w:vAlign w:val="center"/>
          </w:tcPr>
          <w:p w14:paraId="07861AD0">
            <w:pPr>
              <w:jc w:val="center"/>
              <w:rPr>
                <w:rFonts w:ascii="仿宋_GB2312" w:hAnsi="仿宋" w:eastAsia="仿宋_GB2312"/>
                <w:color w:val="auto"/>
                <w:sz w:val="24"/>
                <w:highlight w:val="none"/>
              </w:rPr>
            </w:pPr>
          </w:p>
        </w:tc>
        <w:tc>
          <w:tcPr>
            <w:tcW w:w="1427" w:type="dxa"/>
            <w:tcBorders>
              <w:top w:val="single" w:color="auto" w:sz="4" w:space="0"/>
              <w:left w:val="nil"/>
              <w:bottom w:val="single" w:color="auto" w:sz="4" w:space="0"/>
              <w:right w:val="single" w:color="auto" w:sz="4" w:space="0"/>
            </w:tcBorders>
            <w:vAlign w:val="center"/>
          </w:tcPr>
          <w:p w14:paraId="5BAC3DC2">
            <w:pPr>
              <w:jc w:val="center"/>
              <w:rPr>
                <w:rFonts w:ascii="仿宋_GB2312" w:hAnsi="仿宋" w:eastAsia="仿宋_GB2312"/>
                <w:color w:val="auto"/>
                <w:sz w:val="24"/>
                <w:highlight w:val="none"/>
              </w:rPr>
            </w:pPr>
          </w:p>
        </w:tc>
        <w:tc>
          <w:tcPr>
            <w:tcW w:w="1427" w:type="dxa"/>
            <w:tcBorders>
              <w:top w:val="single" w:color="auto" w:sz="4" w:space="0"/>
              <w:left w:val="nil"/>
              <w:bottom w:val="single" w:color="auto" w:sz="4" w:space="0"/>
              <w:right w:val="single" w:color="auto" w:sz="4" w:space="0"/>
            </w:tcBorders>
            <w:vAlign w:val="center"/>
          </w:tcPr>
          <w:p w14:paraId="69F2B4E8">
            <w:pPr>
              <w:jc w:val="center"/>
              <w:rPr>
                <w:rFonts w:ascii="仿宋_GB2312" w:hAnsi="仿宋" w:eastAsia="仿宋_GB2312"/>
                <w:color w:val="auto"/>
                <w:sz w:val="24"/>
                <w:highlight w:val="none"/>
              </w:rPr>
            </w:pPr>
          </w:p>
        </w:tc>
        <w:tc>
          <w:tcPr>
            <w:tcW w:w="1344" w:type="dxa"/>
            <w:tcBorders>
              <w:top w:val="single" w:color="auto" w:sz="4" w:space="0"/>
              <w:left w:val="nil"/>
              <w:bottom w:val="single" w:color="auto" w:sz="4" w:space="0"/>
              <w:right w:val="single" w:color="auto" w:sz="4" w:space="0"/>
            </w:tcBorders>
            <w:vAlign w:val="center"/>
          </w:tcPr>
          <w:p w14:paraId="74FB3FB7">
            <w:pPr>
              <w:spacing w:line="360" w:lineRule="auto"/>
              <w:rPr>
                <w:rFonts w:ascii="仿宋_GB2312" w:hAnsi="仿宋" w:eastAsia="仿宋_GB2312"/>
                <w:color w:val="auto"/>
                <w:sz w:val="24"/>
                <w:highlight w:val="none"/>
              </w:rPr>
            </w:pPr>
          </w:p>
        </w:tc>
      </w:tr>
      <w:tr w14:paraId="6BD7D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tcBorders>
              <w:top w:val="single" w:color="auto" w:sz="4" w:space="0"/>
              <w:left w:val="single" w:color="auto" w:sz="4" w:space="0"/>
              <w:bottom w:val="single" w:color="auto" w:sz="4" w:space="0"/>
              <w:right w:val="single" w:color="auto" w:sz="4" w:space="0"/>
            </w:tcBorders>
            <w:vAlign w:val="center"/>
          </w:tcPr>
          <w:p w14:paraId="57CB7BB1">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3</w:t>
            </w:r>
          </w:p>
        </w:tc>
        <w:tc>
          <w:tcPr>
            <w:tcW w:w="1582" w:type="dxa"/>
            <w:tcBorders>
              <w:top w:val="single" w:color="auto" w:sz="4" w:space="0"/>
              <w:left w:val="nil"/>
              <w:bottom w:val="single" w:color="auto" w:sz="4" w:space="0"/>
              <w:right w:val="single" w:color="auto" w:sz="4" w:space="0"/>
            </w:tcBorders>
            <w:vAlign w:val="center"/>
          </w:tcPr>
          <w:p w14:paraId="776A5445">
            <w:pPr>
              <w:jc w:val="center"/>
              <w:rPr>
                <w:rFonts w:ascii="仿宋_GB2312" w:hAnsi="仿宋" w:eastAsia="仿宋_GB2312"/>
                <w:color w:val="auto"/>
                <w:sz w:val="24"/>
                <w:highlight w:val="none"/>
              </w:rPr>
            </w:pPr>
          </w:p>
        </w:tc>
        <w:tc>
          <w:tcPr>
            <w:tcW w:w="1587" w:type="dxa"/>
            <w:tcBorders>
              <w:top w:val="single" w:color="auto" w:sz="4" w:space="0"/>
              <w:left w:val="nil"/>
              <w:bottom w:val="single" w:color="auto" w:sz="4" w:space="0"/>
              <w:right w:val="single" w:color="auto" w:sz="4" w:space="0"/>
            </w:tcBorders>
            <w:vAlign w:val="center"/>
          </w:tcPr>
          <w:p w14:paraId="066FC9B1">
            <w:pPr>
              <w:jc w:val="center"/>
              <w:rPr>
                <w:rFonts w:ascii="仿宋_GB2312" w:hAnsi="仿宋" w:eastAsia="仿宋_GB2312"/>
                <w:color w:val="auto"/>
                <w:sz w:val="24"/>
                <w:highlight w:val="none"/>
              </w:rPr>
            </w:pPr>
          </w:p>
        </w:tc>
        <w:tc>
          <w:tcPr>
            <w:tcW w:w="1427" w:type="dxa"/>
            <w:tcBorders>
              <w:top w:val="single" w:color="auto" w:sz="4" w:space="0"/>
              <w:left w:val="nil"/>
              <w:bottom w:val="single" w:color="auto" w:sz="4" w:space="0"/>
              <w:right w:val="single" w:color="auto" w:sz="4" w:space="0"/>
            </w:tcBorders>
            <w:vAlign w:val="center"/>
          </w:tcPr>
          <w:p w14:paraId="5143AC1B">
            <w:pPr>
              <w:jc w:val="center"/>
              <w:rPr>
                <w:rFonts w:ascii="仿宋_GB2312" w:hAnsi="仿宋" w:eastAsia="仿宋_GB2312"/>
                <w:color w:val="auto"/>
                <w:sz w:val="24"/>
                <w:highlight w:val="none"/>
              </w:rPr>
            </w:pPr>
          </w:p>
        </w:tc>
        <w:tc>
          <w:tcPr>
            <w:tcW w:w="1427" w:type="dxa"/>
            <w:tcBorders>
              <w:top w:val="single" w:color="auto" w:sz="4" w:space="0"/>
              <w:left w:val="nil"/>
              <w:bottom w:val="single" w:color="auto" w:sz="4" w:space="0"/>
              <w:right w:val="single" w:color="auto" w:sz="4" w:space="0"/>
            </w:tcBorders>
            <w:vAlign w:val="center"/>
          </w:tcPr>
          <w:p w14:paraId="141C5E77">
            <w:pPr>
              <w:jc w:val="center"/>
              <w:rPr>
                <w:rFonts w:ascii="仿宋_GB2312" w:hAnsi="仿宋" w:eastAsia="仿宋_GB2312"/>
                <w:color w:val="auto"/>
                <w:sz w:val="24"/>
                <w:highlight w:val="none"/>
              </w:rPr>
            </w:pPr>
          </w:p>
        </w:tc>
        <w:tc>
          <w:tcPr>
            <w:tcW w:w="1344" w:type="dxa"/>
            <w:tcBorders>
              <w:top w:val="single" w:color="auto" w:sz="4" w:space="0"/>
              <w:left w:val="nil"/>
              <w:bottom w:val="single" w:color="auto" w:sz="4" w:space="0"/>
              <w:right w:val="single" w:color="auto" w:sz="4" w:space="0"/>
            </w:tcBorders>
            <w:vAlign w:val="center"/>
          </w:tcPr>
          <w:p w14:paraId="6B229AAB">
            <w:pPr>
              <w:spacing w:line="360" w:lineRule="auto"/>
              <w:rPr>
                <w:rFonts w:ascii="仿宋_GB2312" w:hAnsi="仿宋" w:eastAsia="仿宋_GB2312"/>
                <w:color w:val="auto"/>
                <w:sz w:val="24"/>
                <w:highlight w:val="none"/>
              </w:rPr>
            </w:pPr>
          </w:p>
        </w:tc>
      </w:tr>
      <w:tr w14:paraId="45DC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953" w:type="dxa"/>
            <w:tcBorders>
              <w:top w:val="single" w:color="auto" w:sz="4" w:space="0"/>
              <w:left w:val="single" w:color="auto" w:sz="4" w:space="0"/>
              <w:bottom w:val="single" w:color="auto" w:sz="4" w:space="0"/>
              <w:right w:val="single" w:color="auto" w:sz="4" w:space="0"/>
            </w:tcBorders>
            <w:vAlign w:val="center"/>
          </w:tcPr>
          <w:p w14:paraId="1A12253B">
            <w:pPr>
              <w:jc w:val="center"/>
              <w:rPr>
                <w:rFonts w:ascii="仿宋_GB2312" w:hAnsi="仿宋" w:eastAsia="仿宋_GB2312"/>
                <w:color w:val="auto"/>
                <w:sz w:val="24"/>
                <w:highlight w:val="none"/>
              </w:rPr>
            </w:pPr>
            <w:r>
              <w:rPr>
                <w:rFonts w:hint="eastAsia" w:ascii="仿宋_GB2312" w:hAnsi="仿宋" w:eastAsia="仿宋_GB2312"/>
                <w:color w:val="auto"/>
                <w:sz w:val="24"/>
                <w:highlight w:val="none"/>
              </w:rPr>
              <w:t>……</w:t>
            </w:r>
          </w:p>
        </w:tc>
        <w:tc>
          <w:tcPr>
            <w:tcW w:w="1582" w:type="dxa"/>
            <w:tcBorders>
              <w:top w:val="single" w:color="auto" w:sz="4" w:space="0"/>
              <w:left w:val="nil"/>
              <w:bottom w:val="single" w:color="auto" w:sz="4" w:space="0"/>
              <w:right w:val="single" w:color="auto" w:sz="4" w:space="0"/>
            </w:tcBorders>
            <w:vAlign w:val="center"/>
          </w:tcPr>
          <w:p w14:paraId="6EBF3092">
            <w:pPr>
              <w:jc w:val="center"/>
              <w:rPr>
                <w:rFonts w:ascii="仿宋_GB2312" w:hAnsi="仿宋" w:eastAsia="仿宋_GB2312"/>
                <w:color w:val="auto"/>
                <w:sz w:val="24"/>
                <w:highlight w:val="none"/>
              </w:rPr>
            </w:pPr>
          </w:p>
        </w:tc>
        <w:tc>
          <w:tcPr>
            <w:tcW w:w="1587" w:type="dxa"/>
            <w:tcBorders>
              <w:top w:val="single" w:color="auto" w:sz="4" w:space="0"/>
              <w:left w:val="nil"/>
              <w:bottom w:val="single" w:color="auto" w:sz="4" w:space="0"/>
              <w:right w:val="single" w:color="auto" w:sz="4" w:space="0"/>
            </w:tcBorders>
            <w:vAlign w:val="center"/>
          </w:tcPr>
          <w:p w14:paraId="60D60285">
            <w:pPr>
              <w:jc w:val="center"/>
              <w:rPr>
                <w:rFonts w:ascii="仿宋_GB2312" w:hAnsi="仿宋" w:eastAsia="仿宋_GB2312"/>
                <w:color w:val="auto"/>
                <w:sz w:val="24"/>
                <w:highlight w:val="none"/>
              </w:rPr>
            </w:pPr>
          </w:p>
        </w:tc>
        <w:tc>
          <w:tcPr>
            <w:tcW w:w="1427" w:type="dxa"/>
            <w:tcBorders>
              <w:top w:val="single" w:color="auto" w:sz="4" w:space="0"/>
              <w:left w:val="nil"/>
              <w:bottom w:val="single" w:color="auto" w:sz="4" w:space="0"/>
              <w:right w:val="single" w:color="auto" w:sz="4" w:space="0"/>
            </w:tcBorders>
            <w:vAlign w:val="center"/>
          </w:tcPr>
          <w:p w14:paraId="07C4E36C">
            <w:pPr>
              <w:jc w:val="center"/>
              <w:rPr>
                <w:rFonts w:ascii="仿宋_GB2312" w:hAnsi="仿宋" w:eastAsia="仿宋_GB2312"/>
                <w:color w:val="auto"/>
                <w:sz w:val="24"/>
                <w:highlight w:val="none"/>
              </w:rPr>
            </w:pPr>
          </w:p>
        </w:tc>
        <w:tc>
          <w:tcPr>
            <w:tcW w:w="1427" w:type="dxa"/>
            <w:tcBorders>
              <w:top w:val="single" w:color="auto" w:sz="4" w:space="0"/>
              <w:left w:val="nil"/>
              <w:bottom w:val="single" w:color="auto" w:sz="4" w:space="0"/>
              <w:right w:val="single" w:color="auto" w:sz="4" w:space="0"/>
            </w:tcBorders>
            <w:vAlign w:val="center"/>
          </w:tcPr>
          <w:p w14:paraId="2DC24DF9">
            <w:pPr>
              <w:jc w:val="center"/>
              <w:rPr>
                <w:rFonts w:ascii="仿宋_GB2312" w:hAnsi="仿宋" w:eastAsia="仿宋_GB2312"/>
                <w:color w:val="auto"/>
                <w:sz w:val="24"/>
                <w:highlight w:val="none"/>
              </w:rPr>
            </w:pPr>
          </w:p>
        </w:tc>
        <w:tc>
          <w:tcPr>
            <w:tcW w:w="1344" w:type="dxa"/>
            <w:tcBorders>
              <w:top w:val="single" w:color="auto" w:sz="4" w:space="0"/>
              <w:left w:val="nil"/>
              <w:bottom w:val="single" w:color="auto" w:sz="4" w:space="0"/>
              <w:right w:val="single" w:color="auto" w:sz="4" w:space="0"/>
            </w:tcBorders>
            <w:vAlign w:val="center"/>
          </w:tcPr>
          <w:p w14:paraId="7D4C2B34">
            <w:pPr>
              <w:spacing w:line="360" w:lineRule="auto"/>
              <w:rPr>
                <w:rFonts w:ascii="仿宋_GB2312" w:hAnsi="仿宋" w:eastAsia="仿宋_GB2312"/>
                <w:color w:val="auto"/>
                <w:sz w:val="24"/>
                <w:highlight w:val="none"/>
              </w:rPr>
            </w:pPr>
          </w:p>
        </w:tc>
      </w:tr>
      <w:tr w14:paraId="4C8B9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320" w:type="dxa"/>
            <w:gridSpan w:val="6"/>
            <w:tcBorders>
              <w:top w:val="single" w:color="auto" w:sz="4" w:space="0"/>
              <w:left w:val="single" w:color="auto" w:sz="4" w:space="0"/>
              <w:bottom w:val="single" w:color="auto" w:sz="4" w:space="0"/>
              <w:right w:val="single" w:color="auto" w:sz="4" w:space="0"/>
            </w:tcBorders>
            <w:vAlign w:val="center"/>
          </w:tcPr>
          <w:p w14:paraId="225788D0">
            <w:pPr>
              <w:ind w:firstLine="480" w:firstLineChars="200"/>
              <w:jc w:val="left"/>
              <w:rPr>
                <w:rFonts w:ascii="仿宋_GB2312" w:hAnsi="仿宋" w:eastAsia="仿宋_GB2312"/>
                <w:color w:val="auto"/>
                <w:sz w:val="24"/>
                <w:highlight w:val="none"/>
              </w:rPr>
            </w:pPr>
            <w:r>
              <w:rPr>
                <w:rFonts w:hint="eastAsia" w:ascii="仿宋_GB2312" w:hAnsi="仿宋" w:eastAsia="仿宋_GB2312"/>
                <w:b/>
                <w:color w:val="auto"/>
                <w:sz w:val="24"/>
                <w:highlight w:val="none"/>
              </w:rPr>
              <w:t>响应文件中所提供的以上产品为我公司生产的产品，如有虚假，我公司承担由此产生的一切后果。</w:t>
            </w:r>
          </w:p>
        </w:tc>
      </w:tr>
    </w:tbl>
    <w:p w14:paraId="60EFFE56">
      <w:pPr>
        <w:adjustRightInd w:val="0"/>
        <w:snapToGrid w:val="0"/>
        <w:spacing w:before="159" w:beforeLines="50" w:line="360" w:lineRule="auto"/>
        <w:ind w:right="105" w:rightChars="5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注：1.供应商为非残疾人福利性单位的，无需填写此声明函。</w:t>
      </w:r>
    </w:p>
    <w:p w14:paraId="78C6757B">
      <w:pPr>
        <w:adjustRightInd w:val="0"/>
        <w:snapToGrid w:val="0"/>
        <w:spacing w:line="360" w:lineRule="auto"/>
        <w:ind w:right="105" w:rightChars="50"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2.仅为本项目提供服务，未提供服务所伴随产品的，此表格可不填写。</w:t>
      </w:r>
    </w:p>
    <w:p w14:paraId="1FB97E37">
      <w:pPr>
        <w:adjustRightInd w:val="0"/>
        <w:snapToGrid w:val="0"/>
        <w:spacing w:line="360" w:lineRule="auto"/>
        <w:ind w:right="105" w:rightChars="50"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3.如为本项目提供本单位伴随产品的，请填写此表格。</w:t>
      </w:r>
    </w:p>
    <w:p w14:paraId="350144C8">
      <w:pPr>
        <w:adjustRightInd w:val="0"/>
        <w:snapToGrid w:val="0"/>
        <w:spacing w:line="360" w:lineRule="auto"/>
        <w:ind w:right="105" w:rightChars="50" w:firstLine="480" w:firstLineChars="20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4.如为本项目提供的伴随产品是其他单位生产的，无需填写此表格，但需生产单位按此格式出具此声明。</w:t>
      </w:r>
    </w:p>
    <w:p w14:paraId="2E840F7D">
      <w:pPr>
        <w:adjustRightInd w:val="0"/>
        <w:snapToGrid w:val="0"/>
        <w:spacing w:line="360" w:lineRule="auto"/>
        <w:ind w:right="105" w:rightChars="5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 xml:space="preserve"> </w:t>
      </w:r>
    </w:p>
    <w:p w14:paraId="1008C110">
      <w:pPr>
        <w:pStyle w:val="7"/>
        <w:rPr>
          <w:color w:val="auto"/>
          <w:highlight w:val="none"/>
        </w:rPr>
      </w:pPr>
      <w:r>
        <w:rPr>
          <w:color w:val="auto"/>
          <w:highlight w:val="none"/>
        </w:rPr>
        <w:t xml:space="preserve"> </w:t>
      </w:r>
    </w:p>
    <w:p w14:paraId="7E01D521">
      <w:pPr>
        <w:pStyle w:val="7"/>
        <w:rPr>
          <w:color w:val="auto"/>
          <w:highlight w:val="none"/>
        </w:rPr>
      </w:pPr>
      <w:r>
        <w:rPr>
          <w:rFonts w:hint="eastAsia"/>
          <w:color w:val="auto"/>
          <w:highlight w:val="none"/>
        </w:rPr>
        <w:t xml:space="preserve"> </w:t>
      </w:r>
    </w:p>
    <w:p w14:paraId="69A83ABF">
      <w:pPr>
        <w:adjustRightInd w:val="0"/>
        <w:snapToGrid w:val="0"/>
        <w:spacing w:line="480" w:lineRule="auto"/>
        <w:ind w:right="105" w:rightChars="5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供应商名称（加盖单位公章）：</w:t>
      </w:r>
      <w:r>
        <w:rPr>
          <w:rFonts w:hint="eastAsia" w:ascii="仿宋_GB2312" w:hAnsi="仿宋" w:eastAsia="仿宋_GB2312"/>
          <w:color w:val="auto"/>
          <w:sz w:val="24"/>
          <w:highlight w:val="none"/>
          <w:u w:val="single"/>
        </w:rPr>
        <w:t xml:space="preserve">               </w:t>
      </w:r>
    </w:p>
    <w:p w14:paraId="6FF32E73">
      <w:pPr>
        <w:rPr>
          <w:rFonts w:ascii="宋体" w:hAnsi="宋体" w:eastAsia="宋体"/>
          <w:color w:val="auto"/>
          <w:szCs w:val="21"/>
          <w:highlight w:val="none"/>
        </w:rPr>
      </w:pPr>
      <w:r>
        <w:rPr>
          <w:rFonts w:hint="eastAsia" w:ascii="仿宋_GB2312" w:hAnsi="仿宋" w:eastAsia="仿宋_GB2312"/>
          <w:color w:val="auto"/>
          <w:sz w:val="24"/>
          <w:highlight w:val="none"/>
        </w:rPr>
        <w:t>日     期：</w:t>
      </w:r>
      <w:r>
        <w:rPr>
          <w:rFonts w:hint="eastAsia" w:ascii="仿宋_GB2312" w:hAnsi="仿宋" w:eastAsia="仿宋_GB2312"/>
          <w:color w:val="auto"/>
          <w:sz w:val="24"/>
          <w:highlight w:val="none"/>
          <w:u w:val="single"/>
        </w:rPr>
        <w:t xml:space="preserve">               </w:t>
      </w:r>
      <w:r>
        <w:rPr>
          <w:rFonts w:hint="eastAsia"/>
          <w:color w:val="auto"/>
          <w:highlight w:val="none"/>
        </w:rPr>
        <w:t xml:space="preserve"> </w:t>
      </w:r>
    </w:p>
    <w:p w14:paraId="0CF0D0B5">
      <w:pPr>
        <w:pStyle w:val="3"/>
        <w:adjustRightInd w:val="0"/>
        <w:snapToGrid w:val="0"/>
        <w:spacing w:before="0" w:after="0" w:line="240" w:lineRule="auto"/>
        <w:jc w:val="left"/>
        <w:rPr>
          <w:rFonts w:ascii="仿宋_GB2312" w:hAnsi="仿宋" w:eastAsia="仿宋_GB2312" w:cs="仿宋_GB2312"/>
          <w:color w:val="auto"/>
          <w:szCs w:val="28"/>
          <w:highlight w:val="none"/>
        </w:rPr>
        <w:sectPr>
          <w:pgSz w:w="11906" w:h="16838"/>
          <w:pgMar w:top="1468" w:right="1803" w:bottom="1418" w:left="1803" w:header="851" w:footer="1024" w:gutter="0"/>
          <w:pgBorders>
            <w:top w:val="none" w:sz="0" w:space="0"/>
            <w:left w:val="none" w:sz="0" w:space="0"/>
            <w:bottom w:val="none" w:sz="0" w:space="0"/>
            <w:right w:val="none" w:sz="0" w:space="0"/>
          </w:pgBorders>
          <w:cols w:space="720" w:num="1"/>
          <w:docGrid w:type="linesAndChars" w:linePitch="319" w:charSpace="0"/>
        </w:sectPr>
      </w:pPr>
    </w:p>
    <w:p w14:paraId="7E3FE62B">
      <w:pPr>
        <w:pStyle w:val="3"/>
        <w:adjustRightInd w:val="0"/>
        <w:snapToGrid w:val="0"/>
        <w:spacing w:before="0" w:after="0" w:line="240" w:lineRule="auto"/>
        <w:jc w:val="left"/>
        <w:rPr>
          <w:rFonts w:hint="eastAsia" w:ascii="仿宋_GB2312" w:hAnsi="仿宋" w:eastAsia="仿宋_GB2312" w:cs="仿宋_GB2312"/>
          <w:color w:val="auto"/>
          <w:szCs w:val="28"/>
          <w:highlight w:val="none"/>
          <w:lang w:eastAsia="zh-CN"/>
        </w:rPr>
      </w:pPr>
      <w:r>
        <w:rPr>
          <w:rFonts w:hint="eastAsia" w:ascii="仿宋_GB2312" w:hAnsi="仿宋" w:eastAsia="仿宋_GB2312" w:cs="仿宋_GB2312"/>
          <w:color w:val="auto"/>
          <w:szCs w:val="28"/>
          <w:highlight w:val="none"/>
        </w:rPr>
        <w:t>格式2</w:t>
      </w:r>
      <w:r>
        <w:rPr>
          <w:rFonts w:hint="eastAsia" w:ascii="仿宋_GB2312" w:hAnsi="仿宋" w:eastAsia="仿宋_GB2312" w:cs="仿宋_GB2312"/>
          <w:color w:val="auto"/>
          <w:szCs w:val="28"/>
          <w:highlight w:val="none"/>
          <w:lang w:val="en-US" w:eastAsia="zh-CN"/>
        </w:rPr>
        <w:t>0</w:t>
      </w:r>
    </w:p>
    <w:p w14:paraId="40B70246">
      <w:pPr>
        <w:snapToGrid w:val="0"/>
        <w:spacing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承 诺 书</w:t>
      </w:r>
      <w:r>
        <w:rPr>
          <w:rFonts w:hint="eastAsia" w:ascii="方正小标宋简体" w:hAnsi="仿宋_GB2312" w:eastAsia="方正小标宋简体" w:cs="仿宋_GB2312"/>
          <w:color w:val="auto"/>
          <w:sz w:val="32"/>
          <w:szCs w:val="32"/>
          <w:highlight w:val="none"/>
          <w:lang w:eastAsia="zh-CN"/>
        </w:rPr>
        <w:t>（</w:t>
      </w:r>
      <w:r>
        <w:rPr>
          <w:rFonts w:hint="eastAsia" w:ascii="方正小标宋简体" w:hAnsi="仿宋_GB2312" w:eastAsia="方正小标宋简体" w:cs="仿宋_GB2312"/>
          <w:color w:val="auto"/>
          <w:sz w:val="32"/>
          <w:szCs w:val="32"/>
          <w:highlight w:val="none"/>
          <w:lang w:val="en-US" w:eastAsia="zh-CN"/>
        </w:rPr>
        <w:t>如有</w:t>
      </w:r>
      <w:r>
        <w:rPr>
          <w:rFonts w:hint="eastAsia" w:ascii="方正小标宋简体" w:hAnsi="仿宋_GB2312" w:eastAsia="方正小标宋简体" w:cs="仿宋_GB2312"/>
          <w:color w:val="auto"/>
          <w:sz w:val="32"/>
          <w:szCs w:val="32"/>
          <w:highlight w:val="none"/>
          <w:lang w:eastAsia="zh-CN"/>
        </w:rPr>
        <w:t>）</w:t>
      </w:r>
    </w:p>
    <w:p w14:paraId="2B010B73">
      <w:pPr>
        <w:snapToGrid w:val="0"/>
        <w:spacing w:line="540" w:lineRule="exact"/>
        <w:ind w:firstLine="480" w:firstLineChars="200"/>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 xml:space="preserve">    公司名称</w:t>
      </w:r>
      <w:r>
        <w:rPr>
          <w:rFonts w:hint="eastAsia" w:ascii="仿宋_GB2312" w:hAnsi="仿宋" w:eastAsia="仿宋_GB2312" w:cs="仿宋"/>
          <w:bCs/>
          <w:color w:val="auto"/>
          <w:sz w:val="24"/>
          <w:highlight w:val="none"/>
        </w:rPr>
        <w:t>（以下简称“我公司”），就在(项目编号：</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）中提供的投标保证保险凭证/保函(编号:</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)有效性作出如下承诺：</w:t>
      </w:r>
    </w:p>
    <w:p w14:paraId="5DE991B5">
      <w:pPr>
        <w:snapToGrid w:val="0"/>
        <w:spacing w:line="540" w:lineRule="exact"/>
        <w:ind w:firstLine="480" w:firstLineChars="200"/>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一、鉴于我公司于</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年</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月</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日</w:t>
      </w:r>
      <w:r>
        <w:rPr>
          <w:rFonts w:hint="eastAsia" w:ascii="仿宋_GB2312" w:hAnsi="仿宋" w:eastAsia="仿宋_GB2312" w:cs="仿宋"/>
          <w:bCs/>
          <w:color w:val="auto"/>
          <w:sz w:val="24"/>
          <w:highlight w:val="none"/>
        </w:rPr>
        <w:t>参加</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(项目编号：</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）项目的投标，</w:t>
      </w:r>
      <w:r>
        <w:rPr>
          <w:rFonts w:hint="eastAsia"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(金融机构)根据采购文件的要求已经为我公司出具该项目投标保证保险凭证/保函 。</w:t>
      </w:r>
    </w:p>
    <w:p w14:paraId="53566F34">
      <w:pPr>
        <w:snapToGrid w:val="0"/>
        <w:spacing w:line="540" w:lineRule="exact"/>
        <w:ind w:firstLine="480" w:firstLineChars="200"/>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二、</w:t>
      </w:r>
      <w:bookmarkStart w:id="138" w:name="_Hlk83746627"/>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(项目编号：</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w:t>
      </w:r>
      <w:bookmarkEnd w:id="138"/>
      <w:r>
        <w:rPr>
          <w:rFonts w:hint="eastAsia" w:ascii="仿宋_GB2312" w:hAnsi="仿宋" w:eastAsia="仿宋_GB2312" w:cs="仿宋"/>
          <w:bCs/>
          <w:color w:val="auto"/>
          <w:sz w:val="24"/>
          <w:highlight w:val="none"/>
        </w:rPr>
        <w:t>项目投标保证保险凭证/保函，保险有效期为</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年</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月</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日起至</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年</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月</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日止。</w:t>
      </w:r>
    </w:p>
    <w:p w14:paraId="23F72500">
      <w:pPr>
        <w:snapToGrid w:val="0"/>
        <w:spacing w:line="540" w:lineRule="exact"/>
        <w:ind w:firstLine="480" w:firstLineChars="200"/>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三、</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(项目编号：</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w:t>
      </w:r>
      <w:r>
        <w:rPr>
          <w:rFonts w:hint="eastAsia" w:ascii="仿宋_GB2312" w:hAnsi="仿宋" w:eastAsia="仿宋_GB2312" w:cs="仿宋"/>
          <w:bCs/>
          <w:color w:val="auto"/>
          <w:sz w:val="24"/>
          <w:highlight w:val="none"/>
        </w:rPr>
        <w:t>项目投标保证保险凭证/保函</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机构承担的保险金额（最高限额）：人民币</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元整 （￥</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w:t>
      </w:r>
    </w:p>
    <w:p w14:paraId="07818F4B">
      <w:pPr>
        <w:snapToGrid w:val="0"/>
        <w:spacing w:line="540" w:lineRule="exact"/>
        <w:ind w:firstLine="480" w:firstLineChars="200"/>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四、我公司郑重承诺，此保函为我公司委托</w:t>
      </w:r>
      <w:r>
        <w:rPr>
          <w:rFonts w:hint="eastAsia" w:ascii="仿宋_GB2312" w:hAnsi="仿宋" w:eastAsia="仿宋_GB2312" w:cs="仿宋"/>
          <w:bCs/>
          <w:color w:val="auto"/>
          <w:sz w:val="24"/>
          <w:highlight w:val="none"/>
          <w:u w:val="single"/>
        </w:rPr>
        <w:t xml:space="preserve">    </w:t>
      </w:r>
      <w:r>
        <w:rPr>
          <w:rFonts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u w:val="single"/>
        </w:rPr>
        <w:t xml:space="preserve">    </w:t>
      </w:r>
      <w:r>
        <w:rPr>
          <w:rFonts w:hint="eastAsia" w:ascii="仿宋_GB2312" w:hAnsi="仿宋" w:eastAsia="仿宋_GB2312" w:cs="仿宋"/>
          <w:bCs/>
          <w:color w:val="auto"/>
          <w:sz w:val="24"/>
          <w:highlight w:val="none"/>
        </w:rPr>
        <w:t>（金融机构）开具，具有与投标保证金同等的法律效力，为我公司真实意思表示，此保函真实有效。若有弄虚作假等违法违规行为，我公司自愿</w:t>
      </w:r>
      <w:r>
        <w:rPr>
          <w:rFonts w:hint="eastAsia" w:ascii="仿宋_GB2312" w:hAnsi="仿宋" w:eastAsia="仿宋_GB2312" w:cs="仿宋"/>
          <w:bCs/>
          <w:color w:val="auto"/>
          <w:sz w:val="24"/>
          <w:highlight w:val="none"/>
          <w:lang w:val="en-US" w:eastAsia="zh-CN"/>
        </w:rPr>
        <w:t>承</w:t>
      </w:r>
      <w:r>
        <w:rPr>
          <w:rFonts w:hint="eastAsia" w:ascii="仿宋_GB2312" w:hAnsi="仿宋" w:eastAsia="仿宋_GB2312" w:cs="仿宋"/>
          <w:bCs/>
          <w:color w:val="auto"/>
          <w:sz w:val="24"/>
          <w:highlight w:val="none"/>
        </w:rPr>
        <w:t>担由此产生的所有法律责任、承担一切法律后果。</w:t>
      </w:r>
    </w:p>
    <w:p w14:paraId="79274EBF">
      <w:pPr>
        <w:snapToGrid w:val="0"/>
        <w:spacing w:line="540" w:lineRule="exact"/>
        <w:ind w:firstLine="480" w:firstLineChars="200"/>
        <w:rPr>
          <w:rFonts w:ascii="仿宋_GB2312" w:hAnsi="仿宋" w:eastAsia="仿宋_GB2312" w:cs="仿宋"/>
          <w:bCs/>
          <w:color w:val="auto"/>
          <w:sz w:val="24"/>
          <w:highlight w:val="none"/>
        </w:rPr>
      </w:pPr>
    </w:p>
    <w:p w14:paraId="47834B76">
      <w:pPr>
        <w:snapToGrid w:val="0"/>
        <w:spacing w:line="540" w:lineRule="exact"/>
        <w:ind w:firstLine="480" w:firstLineChars="200"/>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承  诺  人（签字、公章）：</w:t>
      </w:r>
      <w:r>
        <w:rPr>
          <w:rFonts w:hint="eastAsia" w:ascii="仿宋_GB2312" w:hAnsi="仿宋" w:eastAsia="仿宋_GB2312" w:cs="仿宋_GB2312"/>
          <w:color w:val="auto"/>
          <w:sz w:val="24"/>
          <w:szCs w:val="21"/>
          <w:highlight w:val="none"/>
          <w:u w:val="single"/>
        </w:rPr>
        <w:t xml:space="preserve">             </w:t>
      </w:r>
    </w:p>
    <w:p w14:paraId="19856876">
      <w:pPr>
        <w:snapToGrid w:val="0"/>
        <w:spacing w:line="540" w:lineRule="exact"/>
        <w:ind w:firstLine="480" w:firstLineChars="200"/>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法定代表人（签字、法人章）：</w:t>
      </w:r>
      <w:r>
        <w:rPr>
          <w:rFonts w:hint="eastAsia" w:ascii="仿宋_GB2312" w:hAnsi="仿宋" w:eastAsia="仿宋_GB2312" w:cs="仿宋_GB2312"/>
          <w:color w:val="auto"/>
          <w:sz w:val="24"/>
          <w:szCs w:val="21"/>
          <w:highlight w:val="none"/>
          <w:u w:val="single"/>
        </w:rPr>
        <w:t xml:space="preserve">           </w:t>
      </w:r>
    </w:p>
    <w:p w14:paraId="1E8F903B">
      <w:pPr>
        <w:snapToGrid w:val="0"/>
        <w:spacing w:line="540" w:lineRule="exact"/>
        <w:ind w:firstLine="480" w:firstLineChars="200"/>
        <w:rPr>
          <w:rFonts w:ascii="仿宋_GB2312" w:hAnsi="仿宋" w:eastAsia="仿宋_GB2312" w:cs="仿宋"/>
          <w:bCs/>
          <w:color w:val="auto"/>
          <w:sz w:val="24"/>
          <w:highlight w:val="none"/>
        </w:rPr>
      </w:pPr>
      <w:r>
        <w:rPr>
          <w:rFonts w:hint="eastAsia" w:ascii="仿宋_GB2312" w:hAnsi="仿宋" w:eastAsia="仿宋_GB2312" w:cs="仿宋"/>
          <w:bCs/>
          <w:color w:val="auto"/>
          <w:sz w:val="24"/>
          <w:highlight w:val="none"/>
        </w:rPr>
        <w:t xml:space="preserve">财     </w:t>
      </w:r>
      <w:r>
        <w:rPr>
          <w:rFonts w:ascii="仿宋_GB2312" w:hAnsi="仿宋" w:eastAsia="仿宋_GB2312" w:cs="仿宋"/>
          <w:bCs/>
          <w:color w:val="auto"/>
          <w:sz w:val="24"/>
          <w:highlight w:val="none"/>
        </w:rPr>
        <w:t xml:space="preserve"> </w:t>
      </w:r>
      <w:r>
        <w:rPr>
          <w:rFonts w:hint="eastAsia" w:ascii="仿宋_GB2312" w:hAnsi="仿宋" w:eastAsia="仿宋_GB2312" w:cs="仿宋"/>
          <w:bCs/>
          <w:color w:val="auto"/>
          <w:sz w:val="24"/>
          <w:highlight w:val="none"/>
        </w:rPr>
        <w:t>务（签字、财务专用章）：</w:t>
      </w:r>
      <w:r>
        <w:rPr>
          <w:rFonts w:hint="eastAsia" w:ascii="仿宋_GB2312" w:hAnsi="仿宋" w:eastAsia="仿宋_GB2312" w:cs="仿宋_GB2312"/>
          <w:color w:val="auto"/>
          <w:sz w:val="24"/>
          <w:szCs w:val="21"/>
          <w:highlight w:val="none"/>
          <w:u w:val="single"/>
        </w:rPr>
        <w:t xml:space="preserve">       </w:t>
      </w:r>
    </w:p>
    <w:p w14:paraId="46297324">
      <w:pPr>
        <w:snapToGrid w:val="0"/>
        <w:spacing w:line="540" w:lineRule="exact"/>
        <w:jc w:val="right"/>
        <w:rPr>
          <w:rFonts w:ascii="仿宋_GB2312" w:hAnsi="仿宋" w:eastAsia="仿宋_GB2312" w:cs="仿宋"/>
          <w:bCs/>
          <w:color w:val="auto"/>
          <w:sz w:val="24"/>
          <w:highlight w:val="none"/>
        </w:rPr>
      </w:pPr>
    </w:p>
    <w:p w14:paraId="34EF354A">
      <w:pPr>
        <w:widowControl/>
        <w:ind w:firstLine="480" w:firstLineChars="200"/>
        <w:jc w:val="right"/>
        <w:rPr>
          <w:rFonts w:ascii="仿宋_GB2312" w:hAnsi="仿宋" w:eastAsia="仿宋_GB2312" w:cs="仿宋"/>
          <w:bCs/>
          <w:color w:val="auto"/>
          <w:sz w:val="24"/>
          <w:highlight w:val="none"/>
        </w:rPr>
      </w:pPr>
    </w:p>
    <w:p w14:paraId="7D29D887">
      <w:pPr>
        <w:widowControl/>
        <w:ind w:firstLine="480" w:firstLineChars="200"/>
        <w:jc w:val="right"/>
        <w:rPr>
          <w:rFonts w:ascii="仿宋_GB2312" w:hAnsi="仿宋" w:eastAsia="仿宋_GB2312" w:cs="仿宋"/>
          <w:bCs/>
          <w:color w:val="auto"/>
          <w:sz w:val="24"/>
          <w:highlight w:val="none"/>
        </w:rPr>
      </w:pPr>
    </w:p>
    <w:p w14:paraId="0012BF0C">
      <w:pPr>
        <w:widowControl/>
        <w:ind w:firstLine="480" w:firstLineChars="200"/>
        <w:jc w:val="right"/>
        <w:rPr>
          <w:rFonts w:ascii="仿宋_GB2312" w:hAnsi="仿宋" w:eastAsia="仿宋_GB2312" w:cs="仿宋"/>
          <w:bCs/>
          <w:color w:val="auto"/>
          <w:sz w:val="24"/>
          <w:highlight w:val="none"/>
        </w:rPr>
        <w:sectPr>
          <w:pgSz w:w="11906" w:h="16838"/>
          <w:pgMar w:top="1468" w:right="1803" w:bottom="1418" w:left="1803" w:header="851" w:footer="899" w:gutter="0"/>
          <w:pgBorders>
            <w:top w:val="none" w:sz="0" w:space="0"/>
            <w:left w:val="none" w:sz="0" w:space="0"/>
            <w:bottom w:val="none" w:sz="0" w:space="0"/>
            <w:right w:val="none" w:sz="0" w:space="0"/>
          </w:pgBorders>
          <w:cols w:space="720" w:num="1"/>
          <w:docGrid w:type="linesAndChars" w:linePitch="319" w:charSpace="0"/>
        </w:sectPr>
      </w:pPr>
      <w:r>
        <w:rPr>
          <w:rFonts w:hint="eastAsia" w:ascii="仿宋_GB2312" w:hAnsi="仿宋" w:eastAsia="仿宋_GB2312" w:cs="仿宋"/>
          <w:bCs/>
          <w:color w:val="auto"/>
          <w:sz w:val="24"/>
          <w:highlight w:val="none"/>
        </w:rPr>
        <w:t>日期：    年   月   日</w:t>
      </w:r>
    </w:p>
    <w:p w14:paraId="2B41D97B">
      <w:pPr>
        <w:pStyle w:val="3"/>
        <w:adjustRightInd w:val="0"/>
        <w:snapToGrid w:val="0"/>
        <w:spacing w:before="0" w:after="0" w:line="360" w:lineRule="auto"/>
        <w:jc w:val="left"/>
        <w:rPr>
          <w:rFonts w:hint="eastAsia" w:ascii="仿宋_GB2312" w:hAnsi="仿宋" w:eastAsia="仿宋_GB2312" w:cs="仿宋_GB2312"/>
          <w:color w:val="auto"/>
          <w:szCs w:val="28"/>
          <w:highlight w:val="none"/>
          <w:lang w:eastAsia="zh-CN"/>
        </w:rPr>
      </w:pPr>
      <w:r>
        <w:rPr>
          <w:rFonts w:hint="eastAsia" w:ascii="仿宋_GB2312" w:hAnsi="仿宋" w:eastAsia="仿宋_GB2312" w:cs="仿宋_GB2312"/>
          <w:color w:val="auto"/>
          <w:szCs w:val="28"/>
          <w:highlight w:val="none"/>
        </w:rPr>
        <w:t>格式2</w:t>
      </w:r>
      <w:r>
        <w:rPr>
          <w:rFonts w:hint="eastAsia" w:ascii="仿宋_GB2312" w:hAnsi="仿宋" w:eastAsia="仿宋_GB2312" w:cs="仿宋_GB2312"/>
          <w:color w:val="auto"/>
          <w:szCs w:val="28"/>
          <w:highlight w:val="none"/>
          <w:lang w:val="en-US" w:eastAsia="zh-CN"/>
        </w:rPr>
        <w:t>1</w:t>
      </w:r>
    </w:p>
    <w:p w14:paraId="59CA67ED">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保证金退还明细表（电汇）</w:t>
      </w:r>
    </w:p>
    <w:tbl>
      <w:tblPr>
        <w:tblStyle w:val="25"/>
        <w:tblW w:w="834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181"/>
      </w:tblGrid>
      <w:tr w14:paraId="4C77A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14:paraId="6F8C6E03">
            <w:pPr>
              <w:jc w:val="center"/>
              <w:rPr>
                <w:rFonts w:ascii="仿宋_GB2312" w:eastAsia="仿宋_GB2312"/>
                <w:bCs/>
                <w:color w:val="auto"/>
                <w:sz w:val="24"/>
                <w:highlight w:val="none"/>
              </w:rPr>
            </w:pPr>
            <w:r>
              <w:rPr>
                <w:rFonts w:hint="eastAsia" w:ascii="仿宋_GB2312" w:eastAsia="仿宋_GB2312"/>
                <w:bCs/>
                <w:color w:val="auto"/>
                <w:sz w:val="24"/>
                <w:highlight w:val="none"/>
              </w:rPr>
              <w:t>项目名称</w:t>
            </w:r>
          </w:p>
        </w:tc>
        <w:tc>
          <w:tcPr>
            <w:tcW w:w="6181" w:type="dxa"/>
            <w:tcBorders>
              <w:top w:val="single" w:color="auto" w:sz="4" w:space="0"/>
              <w:left w:val="single" w:color="auto" w:sz="4" w:space="0"/>
              <w:bottom w:val="single" w:color="auto" w:sz="4" w:space="0"/>
              <w:right w:val="single" w:color="auto" w:sz="4" w:space="0"/>
            </w:tcBorders>
            <w:vAlign w:val="center"/>
          </w:tcPr>
          <w:p w14:paraId="7BACC46E">
            <w:pPr>
              <w:rPr>
                <w:rFonts w:ascii="仿宋_GB2312" w:eastAsia="仿宋_GB2312"/>
                <w:bCs/>
                <w:color w:val="auto"/>
                <w:sz w:val="24"/>
                <w:highlight w:val="none"/>
              </w:rPr>
            </w:pPr>
          </w:p>
        </w:tc>
      </w:tr>
      <w:tr w14:paraId="4F3F2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14:paraId="63A1AB02">
            <w:pPr>
              <w:jc w:val="center"/>
              <w:rPr>
                <w:rFonts w:ascii="仿宋_GB2312" w:eastAsia="仿宋_GB2312"/>
                <w:bCs/>
                <w:color w:val="auto"/>
                <w:sz w:val="24"/>
                <w:highlight w:val="none"/>
              </w:rPr>
            </w:pPr>
            <w:r>
              <w:rPr>
                <w:rFonts w:hint="eastAsia" w:ascii="仿宋_GB2312" w:eastAsia="仿宋_GB2312"/>
                <w:bCs/>
                <w:color w:val="auto"/>
                <w:sz w:val="24"/>
                <w:highlight w:val="none"/>
              </w:rPr>
              <w:t>项目编号</w:t>
            </w:r>
          </w:p>
        </w:tc>
        <w:tc>
          <w:tcPr>
            <w:tcW w:w="6181" w:type="dxa"/>
            <w:tcBorders>
              <w:top w:val="single" w:color="auto" w:sz="4" w:space="0"/>
              <w:left w:val="single" w:color="auto" w:sz="4" w:space="0"/>
              <w:bottom w:val="single" w:color="auto" w:sz="4" w:space="0"/>
              <w:right w:val="single" w:color="auto" w:sz="4" w:space="0"/>
            </w:tcBorders>
            <w:vAlign w:val="center"/>
          </w:tcPr>
          <w:p w14:paraId="6FA4E372">
            <w:pPr>
              <w:rPr>
                <w:rFonts w:ascii="仿宋_GB2312" w:eastAsia="仿宋_GB2312"/>
                <w:bCs/>
                <w:color w:val="auto"/>
                <w:sz w:val="24"/>
                <w:highlight w:val="none"/>
              </w:rPr>
            </w:pPr>
          </w:p>
        </w:tc>
      </w:tr>
      <w:tr w14:paraId="2152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14:paraId="03CAD4DA">
            <w:pPr>
              <w:jc w:val="center"/>
              <w:rPr>
                <w:rFonts w:ascii="仿宋_GB2312" w:eastAsia="仿宋_GB2312"/>
                <w:bCs/>
                <w:color w:val="auto"/>
                <w:sz w:val="24"/>
                <w:highlight w:val="none"/>
              </w:rPr>
            </w:pPr>
            <w:r>
              <w:rPr>
                <w:rFonts w:hint="eastAsia" w:ascii="仿宋_GB2312" w:eastAsia="仿宋_GB2312"/>
                <w:bCs/>
                <w:color w:val="auto"/>
                <w:sz w:val="24"/>
                <w:highlight w:val="none"/>
              </w:rPr>
              <w:t>投标人名称</w:t>
            </w:r>
          </w:p>
        </w:tc>
        <w:tc>
          <w:tcPr>
            <w:tcW w:w="6181" w:type="dxa"/>
            <w:tcBorders>
              <w:top w:val="single" w:color="auto" w:sz="4" w:space="0"/>
              <w:left w:val="single" w:color="auto" w:sz="4" w:space="0"/>
              <w:bottom w:val="single" w:color="auto" w:sz="4" w:space="0"/>
              <w:right w:val="single" w:color="auto" w:sz="4" w:space="0"/>
            </w:tcBorders>
            <w:vAlign w:val="center"/>
          </w:tcPr>
          <w:p w14:paraId="38D34A05">
            <w:pPr>
              <w:rPr>
                <w:rFonts w:ascii="仿宋_GB2312" w:eastAsia="仿宋_GB2312"/>
                <w:bCs/>
                <w:color w:val="auto"/>
                <w:sz w:val="24"/>
                <w:highlight w:val="none"/>
              </w:rPr>
            </w:pPr>
          </w:p>
        </w:tc>
      </w:tr>
      <w:tr w14:paraId="25241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14:paraId="1E3C5ED3">
            <w:pPr>
              <w:jc w:val="center"/>
              <w:rPr>
                <w:rFonts w:ascii="仿宋_GB2312" w:eastAsia="仿宋_GB2312"/>
                <w:bCs/>
                <w:color w:val="auto"/>
                <w:sz w:val="24"/>
                <w:highlight w:val="none"/>
              </w:rPr>
            </w:pPr>
            <w:r>
              <w:rPr>
                <w:rFonts w:hint="eastAsia" w:ascii="仿宋_GB2312" w:eastAsia="仿宋_GB2312"/>
                <w:bCs/>
                <w:color w:val="auto"/>
                <w:sz w:val="24"/>
                <w:highlight w:val="none"/>
              </w:rPr>
              <w:t>开户名称</w:t>
            </w:r>
          </w:p>
        </w:tc>
        <w:tc>
          <w:tcPr>
            <w:tcW w:w="6181" w:type="dxa"/>
            <w:tcBorders>
              <w:top w:val="single" w:color="auto" w:sz="4" w:space="0"/>
              <w:left w:val="single" w:color="auto" w:sz="4" w:space="0"/>
              <w:bottom w:val="single" w:color="auto" w:sz="4" w:space="0"/>
              <w:right w:val="single" w:color="auto" w:sz="4" w:space="0"/>
            </w:tcBorders>
            <w:vAlign w:val="bottom"/>
          </w:tcPr>
          <w:p w14:paraId="67B78D9A">
            <w:pPr>
              <w:jc w:val="right"/>
              <w:rPr>
                <w:rFonts w:ascii="仿宋_GB2312" w:eastAsia="仿宋_GB2312"/>
                <w:bCs/>
                <w:color w:val="auto"/>
                <w:sz w:val="24"/>
                <w:highlight w:val="none"/>
              </w:rPr>
            </w:pPr>
            <w:r>
              <w:rPr>
                <w:rFonts w:hint="eastAsia" w:ascii="仿宋_GB2312" w:eastAsia="仿宋_GB2312"/>
                <w:bCs/>
                <w:color w:val="auto"/>
                <w:sz w:val="24"/>
                <w:highlight w:val="none"/>
              </w:rPr>
              <w:t>（银行开户的单位名称）</w:t>
            </w:r>
          </w:p>
        </w:tc>
      </w:tr>
      <w:tr w14:paraId="4BC8F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14:paraId="7C8DFD56">
            <w:pPr>
              <w:jc w:val="center"/>
              <w:rPr>
                <w:rFonts w:ascii="仿宋_GB2312" w:eastAsia="仿宋_GB2312"/>
                <w:bCs/>
                <w:color w:val="auto"/>
                <w:sz w:val="24"/>
                <w:highlight w:val="none"/>
              </w:rPr>
            </w:pPr>
            <w:r>
              <w:rPr>
                <w:rFonts w:hint="eastAsia" w:ascii="仿宋_GB2312" w:eastAsia="仿宋_GB2312"/>
                <w:bCs/>
                <w:color w:val="auto"/>
                <w:sz w:val="24"/>
                <w:highlight w:val="none"/>
              </w:rPr>
              <w:t>开户银行</w:t>
            </w:r>
          </w:p>
        </w:tc>
        <w:tc>
          <w:tcPr>
            <w:tcW w:w="6181" w:type="dxa"/>
            <w:tcBorders>
              <w:top w:val="single" w:color="auto" w:sz="4" w:space="0"/>
              <w:left w:val="single" w:color="auto" w:sz="4" w:space="0"/>
              <w:bottom w:val="single" w:color="auto" w:sz="4" w:space="0"/>
              <w:right w:val="single" w:color="auto" w:sz="4" w:space="0"/>
            </w:tcBorders>
            <w:vAlign w:val="center"/>
          </w:tcPr>
          <w:p w14:paraId="39A20B34">
            <w:pPr>
              <w:jc w:val="left"/>
              <w:rPr>
                <w:rFonts w:ascii="仿宋_GB2312" w:eastAsia="仿宋_GB2312"/>
                <w:bCs/>
                <w:color w:val="auto"/>
                <w:sz w:val="24"/>
                <w:highlight w:val="none"/>
              </w:rPr>
            </w:pPr>
          </w:p>
        </w:tc>
      </w:tr>
      <w:tr w14:paraId="0D75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60" w:type="dxa"/>
            <w:tcBorders>
              <w:top w:val="single" w:color="auto" w:sz="4" w:space="0"/>
              <w:left w:val="single" w:color="auto" w:sz="4" w:space="0"/>
              <w:bottom w:val="single" w:color="auto" w:sz="4" w:space="0"/>
              <w:right w:val="single" w:color="auto" w:sz="4" w:space="0"/>
            </w:tcBorders>
            <w:vAlign w:val="center"/>
          </w:tcPr>
          <w:p w14:paraId="0B231F53">
            <w:pPr>
              <w:jc w:val="center"/>
              <w:rPr>
                <w:rFonts w:ascii="仿宋_GB2312" w:eastAsia="仿宋_GB2312"/>
                <w:bCs/>
                <w:color w:val="auto"/>
                <w:sz w:val="24"/>
                <w:highlight w:val="none"/>
              </w:rPr>
            </w:pPr>
            <w:r>
              <w:rPr>
                <w:rFonts w:hint="eastAsia" w:ascii="仿宋_GB2312" w:eastAsia="仿宋_GB2312"/>
                <w:bCs/>
                <w:color w:val="auto"/>
                <w:sz w:val="24"/>
                <w:highlight w:val="none"/>
              </w:rPr>
              <w:t>汇款账号</w:t>
            </w:r>
          </w:p>
        </w:tc>
        <w:tc>
          <w:tcPr>
            <w:tcW w:w="6181" w:type="dxa"/>
            <w:tcBorders>
              <w:top w:val="single" w:color="auto" w:sz="4" w:space="0"/>
              <w:left w:val="single" w:color="auto" w:sz="4" w:space="0"/>
              <w:bottom w:val="single" w:color="auto" w:sz="4" w:space="0"/>
              <w:right w:val="single" w:color="auto" w:sz="4" w:space="0"/>
            </w:tcBorders>
            <w:vAlign w:val="center"/>
          </w:tcPr>
          <w:p w14:paraId="699DC07D">
            <w:pPr>
              <w:jc w:val="left"/>
              <w:rPr>
                <w:rFonts w:ascii="仿宋_GB2312" w:eastAsia="仿宋_GB2312"/>
                <w:bCs/>
                <w:color w:val="auto"/>
                <w:sz w:val="24"/>
                <w:highlight w:val="none"/>
              </w:rPr>
            </w:pPr>
          </w:p>
        </w:tc>
      </w:tr>
      <w:tr w14:paraId="4643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Borders>
              <w:top w:val="single" w:color="auto" w:sz="4" w:space="0"/>
              <w:left w:val="single" w:color="auto" w:sz="4" w:space="0"/>
              <w:bottom w:val="single" w:color="auto" w:sz="4" w:space="0"/>
              <w:right w:val="single" w:color="auto" w:sz="4" w:space="0"/>
            </w:tcBorders>
            <w:vAlign w:val="center"/>
          </w:tcPr>
          <w:p w14:paraId="1C35A68D">
            <w:pPr>
              <w:jc w:val="center"/>
              <w:rPr>
                <w:rFonts w:ascii="仿宋_GB2312" w:eastAsia="仿宋_GB2312"/>
                <w:bCs/>
                <w:color w:val="auto"/>
                <w:sz w:val="24"/>
                <w:highlight w:val="none"/>
              </w:rPr>
            </w:pPr>
            <w:r>
              <w:rPr>
                <w:rFonts w:hint="eastAsia" w:ascii="仿宋_GB2312" w:eastAsia="仿宋_GB2312"/>
                <w:bCs/>
                <w:color w:val="auto"/>
                <w:sz w:val="24"/>
                <w:highlight w:val="none"/>
              </w:rPr>
              <w:t>备注</w:t>
            </w:r>
          </w:p>
        </w:tc>
        <w:tc>
          <w:tcPr>
            <w:tcW w:w="6181" w:type="dxa"/>
            <w:tcBorders>
              <w:top w:val="single" w:color="auto" w:sz="4" w:space="0"/>
              <w:left w:val="single" w:color="auto" w:sz="4" w:space="0"/>
              <w:bottom w:val="single" w:color="auto" w:sz="4" w:space="0"/>
              <w:right w:val="single" w:color="auto" w:sz="4" w:space="0"/>
            </w:tcBorders>
            <w:vAlign w:val="center"/>
          </w:tcPr>
          <w:p w14:paraId="641330B2">
            <w:pPr>
              <w:jc w:val="center"/>
              <w:rPr>
                <w:rFonts w:ascii="仿宋_GB2312" w:eastAsia="仿宋_GB2312"/>
                <w:bCs/>
                <w:color w:val="auto"/>
                <w:sz w:val="24"/>
                <w:highlight w:val="none"/>
              </w:rPr>
            </w:pPr>
          </w:p>
        </w:tc>
      </w:tr>
    </w:tbl>
    <w:p w14:paraId="063A2F04">
      <w:pPr>
        <w:spacing w:line="400" w:lineRule="exact"/>
        <w:jc w:val="left"/>
        <w:rPr>
          <w:rFonts w:ascii="仿宋" w:hAnsi="仿宋"/>
          <w:bCs/>
          <w:color w:val="auto"/>
          <w:sz w:val="24"/>
          <w:highlight w:val="none"/>
        </w:rPr>
      </w:pPr>
    </w:p>
    <w:p w14:paraId="4A6916E6">
      <w:pPr>
        <w:spacing w:line="400" w:lineRule="exact"/>
        <w:jc w:val="left"/>
        <w:rPr>
          <w:rFonts w:ascii="仿宋_GB2312" w:eastAsia="仿宋_GB2312"/>
          <w:bCs/>
          <w:color w:val="auto"/>
          <w:sz w:val="24"/>
          <w:highlight w:val="none"/>
        </w:rPr>
      </w:pPr>
      <w:r>
        <w:rPr>
          <w:rFonts w:hint="eastAsia" w:ascii="仿宋_GB2312" w:eastAsia="仿宋_GB2312"/>
          <w:bCs/>
          <w:color w:val="auto"/>
          <w:sz w:val="24"/>
          <w:highlight w:val="none"/>
        </w:rPr>
        <w:t>注：1.此表所填退还保证金开户行、账号等信息应与递交保证金开户行、账号等信息相一致，否则影响保证金退还；</w:t>
      </w:r>
    </w:p>
    <w:p w14:paraId="3D91155B">
      <w:pPr>
        <w:spacing w:line="400" w:lineRule="exact"/>
        <w:jc w:val="left"/>
        <w:rPr>
          <w:rFonts w:hint="eastAsia" w:ascii="仿宋_GB2312" w:eastAsia="仿宋_GB2312"/>
          <w:bCs/>
          <w:color w:val="auto"/>
          <w:sz w:val="24"/>
          <w:highlight w:val="none"/>
        </w:rPr>
      </w:pPr>
      <w:r>
        <w:rPr>
          <w:rFonts w:hint="eastAsia" w:ascii="仿宋_GB2312" w:eastAsia="仿宋_GB2312"/>
          <w:bCs/>
          <w:color w:val="auto"/>
          <w:sz w:val="24"/>
          <w:highlight w:val="none"/>
        </w:rPr>
        <w:t>2.开户银行应写全，例如XX银行XX支行或XX分行。</w:t>
      </w:r>
    </w:p>
    <w:p w14:paraId="73927CAF">
      <w:pPr>
        <w:pStyle w:val="15"/>
        <w:rPr>
          <w:color w:val="auto"/>
          <w:highlight w:val="none"/>
        </w:rPr>
      </w:pPr>
    </w:p>
    <w:p w14:paraId="627F73E2">
      <w:pPr>
        <w:adjustRightInd w:val="0"/>
        <w:snapToGrid w:val="0"/>
        <w:spacing w:line="480" w:lineRule="auto"/>
        <w:ind w:right="105" w:rightChars="50"/>
        <w:jc w:val="left"/>
        <w:rPr>
          <w:b/>
          <w:color w:val="auto"/>
          <w:kern w:val="44"/>
          <w:sz w:val="44"/>
          <w:szCs w:val="44"/>
          <w:highlight w:val="none"/>
        </w:rPr>
      </w:pPr>
    </w:p>
    <w:p w14:paraId="65145B02">
      <w:pPr>
        <w:adjustRightInd w:val="0"/>
        <w:snapToGrid w:val="0"/>
        <w:spacing w:line="480" w:lineRule="auto"/>
        <w:ind w:right="105" w:rightChars="5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投标人名称（加盖单位公章）：</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 xml:space="preserve"> </w:t>
      </w:r>
    </w:p>
    <w:p w14:paraId="3F9A1E74">
      <w:pPr>
        <w:widowControl/>
        <w:jc w:val="left"/>
        <w:rPr>
          <w:rFonts w:ascii="仿宋_GB2312" w:hAnsi="仿宋" w:eastAsia="仿宋_GB2312"/>
          <w:color w:val="auto"/>
          <w:sz w:val="24"/>
          <w:highlight w:val="none"/>
          <w:u w:val="single"/>
        </w:rPr>
        <w:sectPr>
          <w:pgSz w:w="11906" w:h="16838"/>
          <w:pgMar w:top="1468" w:right="1803" w:bottom="1418" w:left="1803" w:header="851" w:footer="899" w:gutter="0"/>
          <w:pgBorders>
            <w:top w:val="none" w:sz="0" w:space="0"/>
            <w:left w:val="none" w:sz="0" w:space="0"/>
            <w:bottom w:val="none" w:sz="0" w:space="0"/>
            <w:right w:val="none" w:sz="0" w:space="0"/>
          </w:pgBorders>
          <w:cols w:space="720" w:num="1"/>
          <w:docGrid w:type="linesAndChars" w:linePitch="319" w:charSpace="0"/>
        </w:sectPr>
      </w:pPr>
      <w:r>
        <w:rPr>
          <w:rFonts w:hint="eastAsia" w:ascii="仿宋_GB2312" w:hAnsi="仿宋" w:eastAsia="仿宋_GB2312"/>
          <w:color w:val="auto"/>
          <w:sz w:val="24"/>
          <w:highlight w:val="none"/>
        </w:rPr>
        <w:t xml:space="preserve">日 </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 xml:space="preserve"> 期：</w:t>
      </w:r>
      <w:r>
        <w:rPr>
          <w:rFonts w:hint="eastAsia" w:ascii="仿宋_GB2312" w:hAnsi="仿宋" w:eastAsia="仿宋_GB2312"/>
          <w:color w:val="auto"/>
          <w:sz w:val="24"/>
          <w:highlight w:val="none"/>
          <w:u w:val="single"/>
        </w:rPr>
        <w:t xml:space="preserve">               </w:t>
      </w:r>
    </w:p>
    <w:p w14:paraId="15BEF215">
      <w:pPr>
        <w:pStyle w:val="3"/>
        <w:adjustRightInd w:val="0"/>
        <w:snapToGrid w:val="0"/>
        <w:spacing w:before="0" w:after="0" w:line="360" w:lineRule="auto"/>
        <w:jc w:val="left"/>
        <w:rPr>
          <w:rFonts w:hint="eastAsia" w:ascii="仿宋_GB2312" w:hAnsi="仿宋" w:eastAsia="仿宋_GB2312" w:cs="仿宋_GB2312"/>
          <w:color w:val="auto"/>
          <w:szCs w:val="28"/>
          <w:highlight w:val="none"/>
          <w:lang w:eastAsia="zh-CN"/>
        </w:rPr>
      </w:pPr>
      <w:r>
        <w:rPr>
          <w:rFonts w:hint="eastAsia" w:ascii="仿宋_GB2312" w:hAnsi="仿宋" w:eastAsia="仿宋_GB2312" w:cs="仿宋_GB2312"/>
          <w:color w:val="auto"/>
          <w:szCs w:val="28"/>
          <w:highlight w:val="none"/>
        </w:rPr>
        <w:t>格式</w:t>
      </w:r>
      <w:r>
        <w:rPr>
          <w:rFonts w:ascii="仿宋_GB2312" w:hAnsi="仿宋" w:eastAsia="仿宋_GB2312" w:cs="仿宋_GB2312"/>
          <w:color w:val="auto"/>
          <w:szCs w:val="28"/>
          <w:highlight w:val="none"/>
        </w:rPr>
        <w:t>2</w:t>
      </w:r>
      <w:r>
        <w:rPr>
          <w:rFonts w:hint="eastAsia" w:ascii="仿宋_GB2312" w:hAnsi="仿宋" w:eastAsia="仿宋_GB2312" w:cs="仿宋_GB2312"/>
          <w:color w:val="auto"/>
          <w:szCs w:val="28"/>
          <w:highlight w:val="none"/>
          <w:lang w:val="en-US" w:eastAsia="zh-CN"/>
        </w:rPr>
        <w:t>2</w:t>
      </w:r>
    </w:p>
    <w:p w14:paraId="0D8FEBFD">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投标人基本情况</w:t>
      </w:r>
    </w:p>
    <w:p w14:paraId="28B462FC">
      <w:pPr>
        <w:adjustRightInd w:val="0"/>
        <w:snapToGrid w:val="0"/>
        <w:spacing w:line="360" w:lineRule="auto"/>
        <w:ind w:right="105" w:rightChars="5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附表1 投标人基本信息表</w:t>
      </w:r>
    </w:p>
    <w:p w14:paraId="2AE6287E">
      <w:pPr>
        <w:adjustRightInd w:val="0"/>
        <w:snapToGrid w:val="0"/>
        <w:spacing w:line="360" w:lineRule="auto"/>
        <w:ind w:right="105" w:rightChars="50"/>
        <w:jc w:val="left"/>
        <w:rPr>
          <w:rFonts w:ascii="仿宋_GB2312" w:hAnsi="仿宋" w:eastAsia="仿宋_GB2312"/>
          <w:color w:val="auto"/>
          <w:sz w:val="24"/>
          <w:highlight w:val="none"/>
        </w:rPr>
      </w:pPr>
      <w:r>
        <w:rPr>
          <w:rFonts w:hint="eastAsia" w:ascii="仿宋_GB2312" w:hAnsi="仿宋" w:eastAsia="仿宋_GB2312"/>
          <w:color w:val="auto"/>
          <w:sz w:val="24"/>
          <w:highlight w:val="none"/>
        </w:rPr>
        <w:t>附表2 202</w:t>
      </w:r>
      <w:r>
        <w:rPr>
          <w:rFonts w:hint="eastAsia" w:ascii="仿宋_GB2312" w:hAnsi="仿宋" w:eastAsia="仿宋_GB2312"/>
          <w:color w:val="auto"/>
          <w:sz w:val="24"/>
          <w:highlight w:val="none"/>
          <w:lang w:val="en-US" w:eastAsia="zh-CN"/>
        </w:rPr>
        <w:t>2</w:t>
      </w:r>
      <w:r>
        <w:rPr>
          <w:rFonts w:hint="eastAsia" w:ascii="仿宋_GB2312" w:hAnsi="仿宋" w:eastAsia="仿宋_GB2312"/>
          <w:color w:val="auto"/>
          <w:sz w:val="24"/>
          <w:highlight w:val="none"/>
        </w:rPr>
        <w:t>年</w:t>
      </w:r>
      <w:r>
        <w:rPr>
          <w:rFonts w:hint="eastAsia" w:ascii="仿宋_GB2312" w:hAnsi="仿宋" w:eastAsia="仿宋_GB2312"/>
          <w:color w:val="auto"/>
          <w:sz w:val="24"/>
          <w:highlight w:val="none"/>
          <w:lang w:val="en-US" w:eastAsia="zh-CN"/>
        </w:rPr>
        <w:t>1</w:t>
      </w:r>
      <w:r>
        <w:rPr>
          <w:rFonts w:hint="eastAsia" w:ascii="仿宋_GB2312" w:hAnsi="仿宋" w:eastAsia="仿宋_GB2312"/>
          <w:color w:val="auto"/>
          <w:sz w:val="24"/>
          <w:highlight w:val="none"/>
        </w:rPr>
        <w:t>月1日至今类似项目业绩汇总表</w:t>
      </w:r>
    </w:p>
    <w:p w14:paraId="152FBADA">
      <w:pPr>
        <w:adjustRightInd w:val="0"/>
        <w:snapToGrid w:val="0"/>
        <w:spacing w:line="360" w:lineRule="auto"/>
        <w:ind w:right="105" w:rightChars="50"/>
        <w:jc w:val="left"/>
        <w:rPr>
          <w:rFonts w:ascii="仿宋_GB2312" w:eastAsia="仿宋_GB2312"/>
          <w:b/>
          <w:bCs/>
          <w:color w:val="auto"/>
          <w:sz w:val="28"/>
          <w:szCs w:val="28"/>
          <w:highlight w:val="none"/>
        </w:rPr>
        <w:sectPr>
          <w:pgSz w:w="11906" w:h="16838"/>
          <w:pgMar w:top="1468" w:right="1803" w:bottom="1113" w:left="1803" w:header="851" w:footer="899" w:gutter="0"/>
          <w:pgBorders>
            <w:top w:val="none" w:sz="0" w:space="0"/>
            <w:left w:val="none" w:sz="0" w:space="0"/>
            <w:bottom w:val="none" w:sz="0" w:space="0"/>
            <w:right w:val="none" w:sz="0" w:space="0"/>
          </w:pgBorders>
          <w:cols w:space="720" w:num="1"/>
          <w:docGrid w:type="linesAndChars" w:linePitch="319" w:charSpace="0"/>
        </w:sectPr>
      </w:pPr>
      <w:r>
        <w:rPr>
          <w:rFonts w:hint="eastAsia" w:ascii="仿宋_GB2312" w:hAnsi="仿宋" w:eastAsia="仿宋_GB2312"/>
          <w:color w:val="auto"/>
          <w:sz w:val="24"/>
          <w:highlight w:val="none"/>
        </w:rPr>
        <w:t>附表3 单个项目情况表</w:t>
      </w:r>
    </w:p>
    <w:p w14:paraId="6863AEF9">
      <w:pPr>
        <w:spacing w:before="159" w:beforeLines="50" w:after="159" w:afterLines="50" w:line="360" w:lineRule="auto"/>
        <w:ind w:right="-21" w:rightChars="-1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附表1</w:t>
      </w:r>
    </w:p>
    <w:p w14:paraId="73944D80">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投标人基本信息表</w:t>
      </w:r>
    </w:p>
    <w:tbl>
      <w:tblPr>
        <w:tblStyle w:val="25"/>
        <w:tblW w:w="8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1068"/>
        <w:gridCol w:w="1110"/>
        <w:gridCol w:w="1228"/>
        <w:gridCol w:w="1203"/>
        <w:gridCol w:w="995"/>
        <w:gridCol w:w="1517"/>
      </w:tblGrid>
      <w:tr w14:paraId="286B0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43CB6B0E">
            <w:pPr>
              <w:jc w:val="center"/>
              <w:rPr>
                <w:rFonts w:ascii="仿宋_GB2312" w:eastAsia="仿宋_GB2312"/>
                <w:color w:val="auto"/>
                <w:sz w:val="24"/>
                <w:highlight w:val="none"/>
              </w:rPr>
            </w:pPr>
            <w:r>
              <w:rPr>
                <w:rFonts w:hint="eastAsia" w:ascii="仿宋_GB2312" w:eastAsia="仿宋_GB2312"/>
                <w:color w:val="auto"/>
                <w:sz w:val="24"/>
                <w:highlight w:val="none"/>
              </w:rPr>
              <w:t>投标人名称</w:t>
            </w:r>
          </w:p>
        </w:tc>
        <w:tc>
          <w:tcPr>
            <w:tcW w:w="7121" w:type="dxa"/>
            <w:gridSpan w:val="6"/>
            <w:tcBorders>
              <w:top w:val="single" w:color="auto" w:sz="4" w:space="0"/>
              <w:left w:val="single" w:color="auto" w:sz="4" w:space="0"/>
              <w:bottom w:val="single" w:color="auto" w:sz="4" w:space="0"/>
              <w:right w:val="single" w:color="auto" w:sz="4" w:space="0"/>
            </w:tcBorders>
            <w:vAlign w:val="center"/>
          </w:tcPr>
          <w:p w14:paraId="67FA92DF">
            <w:pPr>
              <w:jc w:val="center"/>
              <w:rPr>
                <w:rFonts w:ascii="仿宋_GB2312" w:eastAsia="仿宋_GB2312"/>
                <w:color w:val="auto"/>
                <w:sz w:val="24"/>
                <w:highlight w:val="none"/>
              </w:rPr>
            </w:pPr>
          </w:p>
        </w:tc>
      </w:tr>
      <w:tr w14:paraId="76EDE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20CDA334">
            <w:pPr>
              <w:jc w:val="center"/>
              <w:rPr>
                <w:rFonts w:ascii="仿宋_GB2312" w:eastAsia="仿宋_GB2312"/>
                <w:color w:val="auto"/>
                <w:sz w:val="24"/>
                <w:highlight w:val="none"/>
              </w:rPr>
            </w:pPr>
            <w:r>
              <w:rPr>
                <w:rFonts w:hint="eastAsia" w:ascii="仿宋_GB2312" w:eastAsia="仿宋_GB2312"/>
                <w:color w:val="auto"/>
                <w:sz w:val="24"/>
                <w:highlight w:val="none"/>
              </w:rPr>
              <w:t>注册地址</w:t>
            </w:r>
          </w:p>
        </w:tc>
        <w:tc>
          <w:tcPr>
            <w:tcW w:w="3406" w:type="dxa"/>
            <w:gridSpan w:val="3"/>
            <w:tcBorders>
              <w:top w:val="single" w:color="auto" w:sz="4" w:space="0"/>
              <w:left w:val="single" w:color="auto" w:sz="4" w:space="0"/>
              <w:bottom w:val="single" w:color="auto" w:sz="4" w:space="0"/>
              <w:right w:val="single" w:color="auto" w:sz="4" w:space="0"/>
            </w:tcBorders>
            <w:vAlign w:val="center"/>
          </w:tcPr>
          <w:p w14:paraId="43F10ED6">
            <w:pPr>
              <w:jc w:val="center"/>
              <w:rPr>
                <w:rFonts w:ascii="仿宋_GB2312" w:eastAsia="仿宋_GB2312"/>
                <w:color w:val="auto"/>
                <w:sz w:val="24"/>
                <w:highlight w:val="none"/>
              </w:rPr>
            </w:pPr>
          </w:p>
        </w:tc>
        <w:tc>
          <w:tcPr>
            <w:tcW w:w="1203" w:type="dxa"/>
            <w:tcBorders>
              <w:top w:val="single" w:color="auto" w:sz="4" w:space="0"/>
              <w:left w:val="single" w:color="auto" w:sz="4" w:space="0"/>
              <w:bottom w:val="single" w:color="auto" w:sz="4" w:space="0"/>
              <w:right w:val="single" w:color="auto" w:sz="4" w:space="0"/>
            </w:tcBorders>
            <w:vAlign w:val="center"/>
          </w:tcPr>
          <w:p w14:paraId="48F37400">
            <w:pPr>
              <w:jc w:val="center"/>
              <w:rPr>
                <w:rFonts w:ascii="仿宋_GB2312" w:eastAsia="仿宋_GB2312"/>
                <w:color w:val="auto"/>
                <w:sz w:val="24"/>
                <w:highlight w:val="none"/>
              </w:rPr>
            </w:pPr>
            <w:r>
              <w:rPr>
                <w:rFonts w:hint="eastAsia" w:ascii="仿宋_GB2312" w:eastAsia="仿宋_GB2312"/>
                <w:color w:val="auto"/>
                <w:sz w:val="24"/>
                <w:highlight w:val="none"/>
              </w:rPr>
              <w:t>邮政编码</w:t>
            </w: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4B44E326">
            <w:pPr>
              <w:jc w:val="center"/>
              <w:rPr>
                <w:rFonts w:ascii="仿宋_GB2312" w:eastAsia="仿宋_GB2312"/>
                <w:color w:val="auto"/>
                <w:sz w:val="24"/>
                <w:highlight w:val="none"/>
              </w:rPr>
            </w:pPr>
          </w:p>
        </w:tc>
      </w:tr>
      <w:tr w14:paraId="42C2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restart"/>
            <w:tcBorders>
              <w:top w:val="nil"/>
              <w:left w:val="single" w:color="auto" w:sz="4" w:space="0"/>
              <w:bottom w:val="single" w:color="auto" w:sz="4" w:space="0"/>
              <w:right w:val="single" w:color="auto" w:sz="4" w:space="0"/>
            </w:tcBorders>
            <w:vAlign w:val="center"/>
          </w:tcPr>
          <w:p w14:paraId="32581237">
            <w:pPr>
              <w:jc w:val="center"/>
              <w:rPr>
                <w:rFonts w:ascii="仿宋_GB2312" w:eastAsia="仿宋_GB2312"/>
                <w:color w:val="auto"/>
                <w:sz w:val="24"/>
                <w:highlight w:val="none"/>
              </w:rPr>
            </w:pPr>
            <w:r>
              <w:rPr>
                <w:rFonts w:hint="eastAsia" w:ascii="仿宋_GB2312" w:eastAsia="仿宋_GB2312"/>
                <w:color w:val="auto"/>
                <w:sz w:val="24"/>
                <w:highlight w:val="none"/>
              </w:rPr>
              <w:t>联系方式</w:t>
            </w:r>
          </w:p>
        </w:tc>
        <w:tc>
          <w:tcPr>
            <w:tcW w:w="1068" w:type="dxa"/>
            <w:tcBorders>
              <w:top w:val="single" w:color="auto" w:sz="4" w:space="0"/>
              <w:left w:val="single" w:color="auto" w:sz="4" w:space="0"/>
              <w:bottom w:val="single" w:color="auto" w:sz="4" w:space="0"/>
              <w:right w:val="single" w:color="auto" w:sz="4" w:space="0"/>
            </w:tcBorders>
            <w:vAlign w:val="center"/>
          </w:tcPr>
          <w:p w14:paraId="1AEAD47B">
            <w:pPr>
              <w:jc w:val="center"/>
              <w:rPr>
                <w:rFonts w:ascii="仿宋_GB2312" w:eastAsia="仿宋_GB2312"/>
                <w:color w:val="auto"/>
                <w:sz w:val="24"/>
                <w:highlight w:val="none"/>
              </w:rPr>
            </w:pPr>
            <w:r>
              <w:rPr>
                <w:rFonts w:hint="eastAsia" w:ascii="仿宋_GB2312" w:eastAsia="仿宋_GB2312"/>
                <w:color w:val="auto"/>
                <w:sz w:val="24"/>
                <w:highlight w:val="none"/>
              </w:rPr>
              <w:t>联系人</w:t>
            </w:r>
          </w:p>
        </w:tc>
        <w:tc>
          <w:tcPr>
            <w:tcW w:w="2338" w:type="dxa"/>
            <w:gridSpan w:val="2"/>
            <w:tcBorders>
              <w:top w:val="single" w:color="auto" w:sz="4" w:space="0"/>
              <w:left w:val="single" w:color="auto" w:sz="4" w:space="0"/>
              <w:bottom w:val="single" w:color="auto" w:sz="4" w:space="0"/>
              <w:right w:val="single" w:color="auto" w:sz="4" w:space="0"/>
            </w:tcBorders>
            <w:vAlign w:val="center"/>
          </w:tcPr>
          <w:p w14:paraId="60FB5782">
            <w:pPr>
              <w:jc w:val="center"/>
              <w:rPr>
                <w:rFonts w:ascii="仿宋_GB2312" w:eastAsia="仿宋_GB2312"/>
                <w:color w:val="auto"/>
                <w:sz w:val="24"/>
                <w:highlight w:val="none"/>
              </w:rPr>
            </w:pPr>
          </w:p>
        </w:tc>
        <w:tc>
          <w:tcPr>
            <w:tcW w:w="1203" w:type="dxa"/>
            <w:tcBorders>
              <w:top w:val="single" w:color="auto" w:sz="4" w:space="0"/>
              <w:left w:val="single" w:color="auto" w:sz="4" w:space="0"/>
              <w:bottom w:val="single" w:color="auto" w:sz="4" w:space="0"/>
              <w:right w:val="single" w:color="auto" w:sz="4" w:space="0"/>
            </w:tcBorders>
            <w:vAlign w:val="center"/>
          </w:tcPr>
          <w:p w14:paraId="591C8DD2">
            <w:pPr>
              <w:jc w:val="center"/>
              <w:rPr>
                <w:rFonts w:ascii="仿宋_GB2312" w:eastAsia="仿宋_GB2312"/>
                <w:color w:val="auto"/>
                <w:sz w:val="24"/>
                <w:highlight w:val="none"/>
              </w:rPr>
            </w:pPr>
            <w:r>
              <w:rPr>
                <w:rFonts w:hint="eastAsia" w:ascii="仿宋_GB2312" w:eastAsia="仿宋_GB2312"/>
                <w:color w:val="auto"/>
                <w:sz w:val="24"/>
                <w:highlight w:val="none"/>
              </w:rPr>
              <w:t>电    话</w:t>
            </w: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7BA99A6D">
            <w:pPr>
              <w:jc w:val="center"/>
              <w:rPr>
                <w:rFonts w:ascii="仿宋_GB2312" w:eastAsia="仿宋_GB2312"/>
                <w:color w:val="auto"/>
                <w:sz w:val="24"/>
                <w:highlight w:val="none"/>
              </w:rPr>
            </w:pPr>
          </w:p>
        </w:tc>
      </w:tr>
      <w:tr w14:paraId="2E450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vMerge w:val="continue"/>
            <w:tcBorders>
              <w:top w:val="nil"/>
              <w:left w:val="single" w:color="auto" w:sz="4" w:space="0"/>
              <w:bottom w:val="single" w:color="auto" w:sz="4" w:space="0"/>
              <w:right w:val="single" w:color="auto" w:sz="4" w:space="0"/>
            </w:tcBorders>
            <w:vAlign w:val="center"/>
          </w:tcPr>
          <w:p w14:paraId="4026910F">
            <w:pPr>
              <w:widowControl/>
              <w:jc w:val="left"/>
              <w:rPr>
                <w:rFonts w:ascii="仿宋_GB2312" w:eastAsia="仿宋_GB2312"/>
                <w:color w:val="auto"/>
                <w:sz w:val="24"/>
                <w:highlight w:val="none"/>
              </w:rPr>
            </w:pPr>
          </w:p>
        </w:tc>
        <w:tc>
          <w:tcPr>
            <w:tcW w:w="1068" w:type="dxa"/>
            <w:tcBorders>
              <w:top w:val="single" w:color="auto" w:sz="4" w:space="0"/>
              <w:left w:val="single" w:color="auto" w:sz="4" w:space="0"/>
              <w:bottom w:val="single" w:color="auto" w:sz="4" w:space="0"/>
              <w:right w:val="single" w:color="auto" w:sz="4" w:space="0"/>
            </w:tcBorders>
            <w:vAlign w:val="center"/>
          </w:tcPr>
          <w:p w14:paraId="5AA86EB0">
            <w:pPr>
              <w:jc w:val="center"/>
              <w:rPr>
                <w:rFonts w:ascii="仿宋_GB2312" w:eastAsia="仿宋_GB2312"/>
                <w:color w:val="auto"/>
                <w:sz w:val="24"/>
                <w:highlight w:val="none"/>
              </w:rPr>
            </w:pPr>
            <w:r>
              <w:rPr>
                <w:rFonts w:hint="eastAsia" w:ascii="仿宋_GB2312" w:eastAsia="仿宋_GB2312"/>
                <w:color w:val="auto"/>
                <w:sz w:val="24"/>
                <w:highlight w:val="none"/>
              </w:rPr>
              <w:t>传  真</w:t>
            </w:r>
          </w:p>
        </w:tc>
        <w:tc>
          <w:tcPr>
            <w:tcW w:w="2338" w:type="dxa"/>
            <w:gridSpan w:val="2"/>
            <w:tcBorders>
              <w:top w:val="single" w:color="auto" w:sz="4" w:space="0"/>
              <w:left w:val="single" w:color="auto" w:sz="4" w:space="0"/>
              <w:bottom w:val="single" w:color="auto" w:sz="4" w:space="0"/>
              <w:right w:val="single" w:color="auto" w:sz="4" w:space="0"/>
            </w:tcBorders>
            <w:vAlign w:val="center"/>
          </w:tcPr>
          <w:p w14:paraId="539A6BBA">
            <w:pPr>
              <w:jc w:val="center"/>
              <w:rPr>
                <w:rFonts w:ascii="仿宋_GB2312" w:eastAsia="仿宋_GB2312"/>
                <w:color w:val="auto"/>
                <w:sz w:val="24"/>
                <w:highlight w:val="none"/>
              </w:rPr>
            </w:pPr>
          </w:p>
        </w:tc>
        <w:tc>
          <w:tcPr>
            <w:tcW w:w="1203" w:type="dxa"/>
            <w:tcBorders>
              <w:top w:val="single" w:color="auto" w:sz="4" w:space="0"/>
              <w:left w:val="single" w:color="auto" w:sz="4" w:space="0"/>
              <w:bottom w:val="single" w:color="auto" w:sz="4" w:space="0"/>
              <w:right w:val="single" w:color="auto" w:sz="4" w:space="0"/>
            </w:tcBorders>
            <w:vAlign w:val="center"/>
          </w:tcPr>
          <w:p w14:paraId="7A03FE5E">
            <w:pPr>
              <w:jc w:val="center"/>
              <w:rPr>
                <w:rFonts w:ascii="仿宋_GB2312" w:eastAsia="仿宋_GB2312"/>
                <w:color w:val="auto"/>
                <w:sz w:val="24"/>
                <w:highlight w:val="none"/>
              </w:rPr>
            </w:pPr>
            <w:r>
              <w:rPr>
                <w:rFonts w:hint="eastAsia" w:ascii="仿宋_GB2312" w:eastAsia="仿宋_GB2312"/>
                <w:color w:val="auto"/>
                <w:sz w:val="24"/>
                <w:highlight w:val="none"/>
              </w:rPr>
              <w:t>网    址</w:t>
            </w: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4B7DECBC">
            <w:pPr>
              <w:jc w:val="center"/>
              <w:rPr>
                <w:rFonts w:ascii="仿宋_GB2312" w:eastAsia="仿宋_GB2312"/>
                <w:color w:val="auto"/>
                <w:sz w:val="24"/>
                <w:highlight w:val="none"/>
              </w:rPr>
            </w:pPr>
          </w:p>
        </w:tc>
      </w:tr>
      <w:tr w14:paraId="54652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74209CEC">
            <w:pPr>
              <w:jc w:val="center"/>
              <w:rPr>
                <w:rFonts w:ascii="仿宋_GB2312" w:eastAsia="仿宋_GB2312"/>
                <w:color w:val="auto"/>
                <w:sz w:val="24"/>
                <w:highlight w:val="none"/>
              </w:rPr>
            </w:pPr>
            <w:r>
              <w:rPr>
                <w:rFonts w:hint="eastAsia" w:ascii="仿宋_GB2312" w:eastAsia="仿宋_GB2312"/>
                <w:color w:val="auto"/>
                <w:sz w:val="24"/>
                <w:highlight w:val="none"/>
              </w:rPr>
              <w:t>法定代表人</w:t>
            </w:r>
          </w:p>
        </w:tc>
        <w:tc>
          <w:tcPr>
            <w:tcW w:w="1068" w:type="dxa"/>
            <w:tcBorders>
              <w:top w:val="single" w:color="auto" w:sz="4" w:space="0"/>
              <w:left w:val="single" w:color="auto" w:sz="4" w:space="0"/>
              <w:bottom w:val="single" w:color="auto" w:sz="4" w:space="0"/>
              <w:right w:val="single" w:color="auto" w:sz="4" w:space="0"/>
            </w:tcBorders>
            <w:vAlign w:val="center"/>
          </w:tcPr>
          <w:p w14:paraId="24635FC0">
            <w:pPr>
              <w:jc w:val="center"/>
              <w:rPr>
                <w:rFonts w:ascii="仿宋_GB2312" w:eastAsia="仿宋_GB2312"/>
                <w:color w:val="auto"/>
                <w:sz w:val="24"/>
                <w:highlight w:val="none"/>
              </w:rPr>
            </w:pPr>
            <w:r>
              <w:rPr>
                <w:rFonts w:hint="eastAsia" w:ascii="仿宋_GB2312" w:eastAsia="仿宋_GB2312"/>
                <w:color w:val="auto"/>
                <w:sz w:val="24"/>
                <w:highlight w:val="none"/>
              </w:rPr>
              <w:t>姓名</w:t>
            </w:r>
          </w:p>
        </w:tc>
        <w:tc>
          <w:tcPr>
            <w:tcW w:w="1110" w:type="dxa"/>
            <w:tcBorders>
              <w:top w:val="single" w:color="auto" w:sz="4" w:space="0"/>
              <w:left w:val="single" w:color="auto" w:sz="4" w:space="0"/>
              <w:bottom w:val="single" w:color="auto" w:sz="4" w:space="0"/>
              <w:right w:val="single" w:color="auto" w:sz="4" w:space="0"/>
            </w:tcBorders>
            <w:vAlign w:val="center"/>
          </w:tcPr>
          <w:p w14:paraId="372115FC">
            <w:pPr>
              <w:jc w:val="center"/>
              <w:rPr>
                <w:rFonts w:ascii="仿宋_GB2312" w:eastAsia="仿宋_GB2312"/>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vAlign w:val="center"/>
          </w:tcPr>
          <w:p w14:paraId="3E72191D">
            <w:pPr>
              <w:jc w:val="center"/>
              <w:rPr>
                <w:rFonts w:ascii="仿宋_GB2312" w:eastAsia="仿宋_GB2312"/>
                <w:color w:val="auto"/>
                <w:sz w:val="24"/>
                <w:highlight w:val="none"/>
              </w:rPr>
            </w:pPr>
            <w:r>
              <w:rPr>
                <w:rFonts w:hint="eastAsia" w:ascii="仿宋_GB2312" w:eastAsia="仿宋_GB2312"/>
                <w:color w:val="auto"/>
                <w:sz w:val="24"/>
                <w:highlight w:val="none"/>
              </w:rPr>
              <w:t>技术职称</w:t>
            </w:r>
          </w:p>
        </w:tc>
        <w:tc>
          <w:tcPr>
            <w:tcW w:w="1203" w:type="dxa"/>
            <w:tcBorders>
              <w:top w:val="single" w:color="auto" w:sz="4" w:space="0"/>
              <w:left w:val="single" w:color="auto" w:sz="4" w:space="0"/>
              <w:bottom w:val="single" w:color="auto" w:sz="4" w:space="0"/>
              <w:right w:val="single" w:color="auto" w:sz="4" w:space="0"/>
            </w:tcBorders>
            <w:vAlign w:val="center"/>
          </w:tcPr>
          <w:p w14:paraId="4321E9D1">
            <w:pPr>
              <w:jc w:val="center"/>
              <w:rPr>
                <w:rFonts w:ascii="仿宋_GB2312" w:eastAsia="仿宋_GB2312"/>
                <w:color w:val="auto"/>
                <w:sz w:val="24"/>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6B59121A">
            <w:pPr>
              <w:jc w:val="center"/>
              <w:rPr>
                <w:rFonts w:ascii="仿宋_GB2312" w:eastAsia="仿宋_GB2312"/>
                <w:color w:val="auto"/>
                <w:sz w:val="24"/>
                <w:highlight w:val="none"/>
              </w:rPr>
            </w:pPr>
            <w:r>
              <w:rPr>
                <w:rFonts w:hint="eastAsia" w:ascii="仿宋_GB2312" w:eastAsia="仿宋_GB2312"/>
                <w:color w:val="auto"/>
                <w:sz w:val="24"/>
                <w:highlight w:val="none"/>
              </w:rPr>
              <w:t>电话</w:t>
            </w:r>
          </w:p>
        </w:tc>
        <w:tc>
          <w:tcPr>
            <w:tcW w:w="1517" w:type="dxa"/>
            <w:tcBorders>
              <w:top w:val="single" w:color="auto" w:sz="4" w:space="0"/>
              <w:left w:val="single" w:color="auto" w:sz="4" w:space="0"/>
              <w:bottom w:val="single" w:color="auto" w:sz="4" w:space="0"/>
              <w:right w:val="single" w:color="auto" w:sz="4" w:space="0"/>
            </w:tcBorders>
            <w:vAlign w:val="center"/>
          </w:tcPr>
          <w:p w14:paraId="514213C4">
            <w:pPr>
              <w:jc w:val="center"/>
              <w:rPr>
                <w:rFonts w:ascii="仿宋_GB2312" w:eastAsia="仿宋_GB2312"/>
                <w:color w:val="auto"/>
                <w:sz w:val="24"/>
                <w:highlight w:val="none"/>
              </w:rPr>
            </w:pPr>
          </w:p>
        </w:tc>
      </w:tr>
      <w:tr w14:paraId="28594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4D540F04">
            <w:pPr>
              <w:jc w:val="center"/>
              <w:rPr>
                <w:rFonts w:ascii="仿宋_GB2312" w:eastAsia="仿宋_GB2312"/>
                <w:color w:val="auto"/>
                <w:sz w:val="24"/>
                <w:highlight w:val="none"/>
              </w:rPr>
            </w:pPr>
            <w:r>
              <w:rPr>
                <w:rFonts w:hint="eastAsia" w:ascii="仿宋_GB2312" w:eastAsia="仿宋_GB2312"/>
                <w:color w:val="auto"/>
                <w:sz w:val="24"/>
                <w:highlight w:val="none"/>
              </w:rPr>
              <w:t>技术负责人</w:t>
            </w:r>
          </w:p>
        </w:tc>
        <w:tc>
          <w:tcPr>
            <w:tcW w:w="1068" w:type="dxa"/>
            <w:tcBorders>
              <w:top w:val="single" w:color="auto" w:sz="4" w:space="0"/>
              <w:left w:val="single" w:color="auto" w:sz="4" w:space="0"/>
              <w:bottom w:val="single" w:color="auto" w:sz="4" w:space="0"/>
              <w:right w:val="single" w:color="auto" w:sz="4" w:space="0"/>
            </w:tcBorders>
            <w:vAlign w:val="center"/>
          </w:tcPr>
          <w:p w14:paraId="6D6D0F33">
            <w:pPr>
              <w:jc w:val="center"/>
              <w:rPr>
                <w:rFonts w:ascii="仿宋_GB2312" w:eastAsia="仿宋_GB2312"/>
                <w:color w:val="auto"/>
                <w:sz w:val="24"/>
                <w:highlight w:val="none"/>
              </w:rPr>
            </w:pPr>
            <w:r>
              <w:rPr>
                <w:rFonts w:hint="eastAsia" w:ascii="仿宋_GB2312" w:eastAsia="仿宋_GB2312"/>
                <w:color w:val="auto"/>
                <w:sz w:val="24"/>
                <w:highlight w:val="none"/>
              </w:rPr>
              <w:t>姓名</w:t>
            </w:r>
          </w:p>
        </w:tc>
        <w:tc>
          <w:tcPr>
            <w:tcW w:w="1110" w:type="dxa"/>
            <w:tcBorders>
              <w:top w:val="single" w:color="auto" w:sz="4" w:space="0"/>
              <w:left w:val="single" w:color="auto" w:sz="4" w:space="0"/>
              <w:bottom w:val="single" w:color="auto" w:sz="4" w:space="0"/>
              <w:right w:val="single" w:color="auto" w:sz="4" w:space="0"/>
            </w:tcBorders>
            <w:vAlign w:val="center"/>
          </w:tcPr>
          <w:p w14:paraId="4B8F8C5B">
            <w:pPr>
              <w:jc w:val="center"/>
              <w:rPr>
                <w:rFonts w:ascii="仿宋_GB2312" w:eastAsia="仿宋_GB2312"/>
                <w:color w:val="auto"/>
                <w:sz w:val="24"/>
                <w:highlight w:val="none"/>
              </w:rPr>
            </w:pPr>
          </w:p>
        </w:tc>
        <w:tc>
          <w:tcPr>
            <w:tcW w:w="1228" w:type="dxa"/>
            <w:tcBorders>
              <w:top w:val="single" w:color="auto" w:sz="4" w:space="0"/>
              <w:left w:val="single" w:color="auto" w:sz="4" w:space="0"/>
              <w:bottom w:val="single" w:color="auto" w:sz="4" w:space="0"/>
              <w:right w:val="single" w:color="auto" w:sz="4" w:space="0"/>
            </w:tcBorders>
            <w:vAlign w:val="center"/>
          </w:tcPr>
          <w:p w14:paraId="44EF8DEE">
            <w:pPr>
              <w:jc w:val="center"/>
              <w:rPr>
                <w:rFonts w:ascii="仿宋_GB2312" w:eastAsia="仿宋_GB2312"/>
                <w:color w:val="auto"/>
                <w:sz w:val="24"/>
                <w:highlight w:val="none"/>
              </w:rPr>
            </w:pPr>
            <w:r>
              <w:rPr>
                <w:rFonts w:hint="eastAsia" w:ascii="仿宋_GB2312" w:eastAsia="仿宋_GB2312"/>
                <w:color w:val="auto"/>
                <w:sz w:val="24"/>
                <w:highlight w:val="none"/>
              </w:rPr>
              <w:t>技术职称</w:t>
            </w:r>
          </w:p>
        </w:tc>
        <w:tc>
          <w:tcPr>
            <w:tcW w:w="1203" w:type="dxa"/>
            <w:tcBorders>
              <w:top w:val="single" w:color="auto" w:sz="4" w:space="0"/>
              <w:left w:val="single" w:color="auto" w:sz="4" w:space="0"/>
              <w:bottom w:val="single" w:color="auto" w:sz="4" w:space="0"/>
              <w:right w:val="single" w:color="auto" w:sz="4" w:space="0"/>
            </w:tcBorders>
            <w:vAlign w:val="center"/>
          </w:tcPr>
          <w:p w14:paraId="4716CD2F">
            <w:pPr>
              <w:jc w:val="center"/>
              <w:rPr>
                <w:rFonts w:ascii="仿宋_GB2312" w:eastAsia="仿宋_GB2312"/>
                <w:color w:val="auto"/>
                <w:sz w:val="24"/>
                <w:highlight w:val="none"/>
              </w:rPr>
            </w:pPr>
          </w:p>
        </w:tc>
        <w:tc>
          <w:tcPr>
            <w:tcW w:w="995" w:type="dxa"/>
            <w:tcBorders>
              <w:top w:val="single" w:color="auto" w:sz="4" w:space="0"/>
              <w:left w:val="single" w:color="auto" w:sz="4" w:space="0"/>
              <w:bottom w:val="single" w:color="auto" w:sz="4" w:space="0"/>
              <w:right w:val="single" w:color="auto" w:sz="4" w:space="0"/>
            </w:tcBorders>
            <w:vAlign w:val="center"/>
          </w:tcPr>
          <w:p w14:paraId="434429A9">
            <w:pPr>
              <w:jc w:val="center"/>
              <w:rPr>
                <w:rFonts w:ascii="仿宋_GB2312" w:eastAsia="仿宋_GB2312"/>
                <w:color w:val="auto"/>
                <w:sz w:val="24"/>
                <w:highlight w:val="none"/>
              </w:rPr>
            </w:pPr>
            <w:r>
              <w:rPr>
                <w:rFonts w:hint="eastAsia" w:ascii="仿宋_GB2312" w:eastAsia="仿宋_GB2312"/>
                <w:color w:val="auto"/>
                <w:sz w:val="24"/>
                <w:highlight w:val="none"/>
              </w:rPr>
              <w:t>电话</w:t>
            </w:r>
          </w:p>
        </w:tc>
        <w:tc>
          <w:tcPr>
            <w:tcW w:w="1517" w:type="dxa"/>
            <w:tcBorders>
              <w:top w:val="single" w:color="auto" w:sz="4" w:space="0"/>
              <w:left w:val="single" w:color="auto" w:sz="4" w:space="0"/>
              <w:bottom w:val="single" w:color="auto" w:sz="4" w:space="0"/>
              <w:right w:val="single" w:color="auto" w:sz="4" w:space="0"/>
            </w:tcBorders>
            <w:vAlign w:val="center"/>
          </w:tcPr>
          <w:p w14:paraId="0DFE92FF">
            <w:pPr>
              <w:jc w:val="center"/>
              <w:rPr>
                <w:rFonts w:ascii="仿宋_GB2312" w:eastAsia="仿宋_GB2312"/>
                <w:color w:val="auto"/>
                <w:sz w:val="24"/>
                <w:highlight w:val="none"/>
              </w:rPr>
            </w:pPr>
          </w:p>
        </w:tc>
      </w:tr>
      <w:tr w14:paraId="015F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53DD11D0">
            <w:pPr>
              <w:jc w:val="center"/>
              <w:rPr>
                <w:rFonts w:ascii="仿宋_GB2312" w:eastAsia="仿宋_GB2312"/>
                <w:color w:val="auto"/>
                <w:sz w:val="24"/>
                <w:highlight w:val="none"/>
              </w:rPr>
            </w:pPr>
            <w:r>
              <w:rPr>
                <w:rFonts w:hint="eastAsia" w:ascii="仿宋_GB2312" w:eastAsia="仿宋_GB2312"/>
                <w:color w:val="auto"/>
                <w:sz w:val="24"/>
                <w:highlight w:val="none"/>
              </w:rPr>
              <w:t>成立时间</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554617CD">
            <w:pPr>
              <w:jc w:val="center"/>
              <w:rPr>
                <w:rFonts w:ascii="仿宋_GB2312" w:eastAsia="仿宋_GB2312"/>
                <w:color w:val="auto"/>
                <w:sz w:val="24"/>
                <w:highlight w:val="none"/>
              </w:rPr>
            </w:pPr>
          </w:p>
        </w:tc>
        <w:tc>
          <w:tcPr>
            <w:tcW w:w="4943" w:type="dxa"/>
            <w:gridSpan w:val="4"/>
            <w:tcBorders>
              <w:top w:val="single" w:color="auto" w:sz="4" w:space="0"/>
              <w:left w:val="single" w:color="auto" w:sz="4" w:space="0"/>
              <w:bottom w:val="single" w:color="auto" w:sz="4" w:space="0"/>
              <w:right w:val="single" w:color="auto" w:sz="4" w:space="0"/>
            </w:tcBorders>
            <w:vAlign w:val="center"/>
          </w:tcPr>
          <w:p w14:paraId="56230D7C">
            <w:pPr>
              <w:jc w:val="left"/>
              <w:rPr>
                <w:rFonts w:ascii="仿宋_GB2312" w:eastAsia="仿宋_GB2312"/>
                <w:color w:val="auto"/>
                <w:sz w:val="24"/>
                <w:highlight w:val="none"/>
              </w:rPr>
            </w:pPr>
            <w:r>
              <w:rPr>
                <w:rFonts w:hint="eastAsia" w:ascii="仿宋_GB2312" w:eastAsia="仿宋_GB2312"/>
                <w:color w:val="auto"/>
                <w:sz w:val="24"/>
                <w:highlight w:val="none"/>
              </w:rPr>
              <w:t>员工总人数：</w:t>
            </w:r>
          </w:p>
        </w:tc>
      </w:tr>
      <w:tr w14:paraId="682D6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01A37F2F">
            <w:pPr>
              <w:jc w:val="center"/>
              <w:rPr>
                <w:rFonts w:ascii="仿宋_GB2312" w:eastAsia="仿宋_GB2312"/>
                <w:color w:val="auto"/>
                <w:sz w:val="24"/>
                <w:highlight w:val="none"/>
              </w:rPr>
            </w:pPr>
            <w:r>
              <w:rPr>
                <w:rFonts w:hint="eastAsia" w:ascii="仿宋_GB2312" w:eastAsia="仿宋_GB2312"/>
                <w:color w:val="auto"/>
                <w:sz w:val="24"/>
                <w:highlight w:val="none"/>
              </w:rPr>
              <w:t>统一社会信用代码</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05C26F51">
            <w:pPr>
              <w:jc w:val="center"/>
              <w:rPr>
                <w:rFonts w:ascii="仿宋_GB2312" w:eastAsia="仿宋_GB2312"/>
                <w:color w:val="auto"/>
                <w:sz w:val="24"/>
                <w:highlight w:val="none"/>
              </w:rPr>
            </w:pPr>
          </w:p>
        </w:tc>
        <w:tc>
          <w:tcPr>
            <w:tcW w:w="1228" w:type="dxa"/>
            <w:vMerge w:val="restart"/>
            <w:tcBorders>
              <w:top w:val="nil"/>
              <w:left w:val="single" w:color="auto" w:sz="4" w:space="0"/>
              <w:bottom w:val="single" w:color="auto" w:sz="4" w:space="0"/>
              <w:right w:val="single" w:color="auto" w:sz="4" w:space="0"/>
            </w:tcBorders>
            <w:vAlign w:val="center"/>
          </w:tcPr>
          <w:p w14:paraId="237005EA">
            <w:pPr>
              <w:jc w:val="center"/>
              <w:rPr>
                <w:rFonts w:ascii="仿宋_GB2312" w:eastAsia="仿宋_GB2312"/>
                <w:color w:val="auto"/>
                <w:sz w:val="24"/>
                <w:highlight w:val="none"/>
              </w:rPr>
            </w:pPr>
            <w:r>
              <w:rPr>
                <w:rFonts w:hint="eastAsia" w:ascii="仿宋_GB2312" w:eastAsia="仿宋_GB2312"/>
                <w:color w:val="auto"/>
                <w:sz w:val="24"/>
                <w:highlight w:val="none"/>
              </w:rPr>
              <w:t>其中</w:t>
            </w:r>
          </w:p>
        </w:tc>
        <w:tc>
          <w:tcPr>
            <w:tcW w:w="1203" w:type="dxa"/>
            <w:tcBorders>
              <w:top w:val="single" w:color="auto" w:sz="4" w:space="0"/>
              <w:left w:val="single" w:color="auto" w:sz="4" w:space="0"/>
              <w:bottom w:val="single" w:color="auto" w:sz="4" w:space="0"/>
              <w:right w:val="single" w:color="auto" w:sz="4" w:space="0"/>
            </w:tcBorders>
            <w:vAlign w:val="center"/>
          </w:tcPr>
          <w:p w14:paraId="06819218">
            <w:pPr>
              <w:jc w:val="center"/>
              <w:rPr>
                <w:rFonts w:ascii="仿宋_GB2312" w:eastAsia="仿宋_GB2312"/>
                <w:color w:val="auto"/>
                <w:sz w:val="24"/>
                <w:highlight w:val="none"/>
              </w:rPr>
            </w:pPr>
            <w:r>
              <w:rPr>
                <w:rFonts w:hint="eastAsia" w:ascii="仿宋_GB2312" w:eastAsia="仿宋_GB2312"/>
                <w:color w:val="auto"/>
                <w:sz w:val="24"/>
                <w:highlight w:val="none"/>
              </w:rPr>
              <w:t>总经理</w:t>
            </w: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765DEBD0">
            <w:pPr>
              <w:jc w:val="center"/>
              <w:rPr>
                <w:rFonts w:ascii="仿宋_GB2312" w:eastAsia="仿宋_GB2312"/>
                <w:color w:val="auto"/>
                <w:sz w:val="24"/>
                <w:highlight w:val="none"/>
              </w:rPr>
            </w:pPr>
          </w:p>
        </w:tc>
      </w:tr>
      <w:tr w14:paraId="2FB0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217FB131">
            <w:pPr>
              <w:jc w:val="center"/>
              <w:rPr>
                <w:rFonts w:ascii="仿宋_GB2312" w:eastAsia="仿宋_GB2312"/>
                <w:color w:val="auto"/>
                <w:sz w:val="24"/>
                <w:highlight w:val="none"/>
              </w:rPr>
            </w:pPr>
            <w:r>
              <w:rPr>
                <w:rFonts w:hint="eastAsia" w:ascii="仿宋_GB2312" w:eastAsia="仿宋_GB2312"/>
                <w:color w:val="auto"/>
                <w:sz w:val="24"/>
                <w:highlight w:val="none"/>
              </w:rPr>
              <w:t>注册资本</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6A527A83">
            <w:pPr>
              <w:jc w:val="center"/>
              <w:rPr>
                <w:rFonts w:ascii="仿宋_GB2312" w:eastAsia="仿宋_GB2312"/>
                <w:color w:val="auto"/>
                <w:sz w:val="24"/>
                <w:highlight w:val="none"/>
              </w:rPr>
            </w:pPr>
          </w:p>
        </w:tc>
        <w:tc>
          <w:tcPr>
            <w:tcW w:w="1228" w:type="dxa"/>
            <w:vMerge w:val="continue"/>
            <w:tcBorders>
              <w:top w:val="nil"/>
              <w:left w:val="single" w:color="auto" w:sz="4" w:space="0"/>
              <w:bottom w:val="single" w:color="auto" w:sz="4" w:space="0"/>
              <w:right w:val="single" w:color="auto" w:sz="4" w:space="0"/>
            </w:tcBorders>
            <w:vAlign w:val="center"/>
          </w:tcPr>
          <w:p w14:paraId="0F2569A4">
            <w:pPr>
              <w:widowControl/>
              <w:jc w:val="left"/>
              <w:rPr>
                <w:rFonts w:ascii="仿宋_GB2312" w:eastAsia="仿宋_GB2312"/>
                <w:color w:val="auto"/>
                <w:sz w:val="24"/>
                <w:highlight w:val="none"/>
              </w:rPr>
            </w:pPr>
          </w:p>
        </w:tc>
        <w:tc>
          <w:tcPr>
            <w:tcW w:w="1203" w:type="dxa"/>
            <w:tcBorders>
              <w:top w:val="single" w:color="auto" w:sz="4" w:space="0"/>
              <w:left w:val="single" w:color="auto" w:sz="4" w:space="0"/>
              <w:bottom w:val="single" w:color="auto" w:sz="4" w:space="0"/>
              <w:right w:val="single" w:color="auto" w:sz="4" w:space="0"/>
            </w:tcBorders>
            <w:vAlign w:val="center"/>
          </w:tcPr>
          <w:p w14:paraId="598F7D38">
            <w:pPr>
              <w:jc w:val="center"/>
              <w:rPr>
                <w:rFonts w:ascii="仿宋_GB2312" w:eastAsia="仿宋_GB2312"/>
                <w:color w:val="auto"/>
                <w:sz w:val="24"/>
                <w:highlight w:val="none"/>
              </w:rPr>
            </w:pPr>
            <w:r>
              <w:rPr>
                <w:rFonts w:hint="eastAsia" w:ascii="仿宋_GB2312" w:eastAsia="仿宋_GB2312"/>
                <w:color w:val="auto"/>
                <w:sz w:val="24"/>
                <w:highlight w:val="none"/>
              </w:rPr>
              <w:t>项目经理</w:t>
            </w: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1538F079">
            <w:pPr>
              <w:jc w:val="center"/>
              <w:rPr>
                <w:rFonts w:ascii="仿宋_GB2312" w:eastAsia="仿宋_GB2312"/>
                <w:color w:val="auto"/>
                <w:sz w:val="24"/>
                <w:highlight w:val="none"/>
              </w:rPr>
            </w:pPr>
          </w:p>
        </w:tc>
      </w:tr>
      <w:tr w14:paraId="2246D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6B61BE6D">
            <w:pPr>
              <w:jc w:val="center"/>
              <w:rPr>
                <w:rFonts w:ascii="仿宋_GB2312" w:eastAsia="仿宋_GB2312"/>
                <w:color w:val="auto"/>
                <w:sz w:val="24"/>
                <w:highlight w:val="none"/>
              </w:rPr>
            </w:pPr>
            <w:r>
              <w:rPr>
                <w:rFonts w:hint="eastAsia" w:ascii="仿宋_GB2312" w:eastAsia="仿宋_GB2312"/>
                <w:color w:val="auto"/>
                <w:sz w:val="24"/>
                <w:highlight w:val="none"/>
              </w:rPr>
              <w:t>开户银行</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5141A307">
            <w:pPr>
              <w:jc w:val="center"/>
              <w:rPr>
                <w:rFonts w:ascii="仿宋_GB2312" w:eastAsia="仿宋_GB2312"/>
                <w:color w:val="auto"/>
                <w:sz w:val="24"/>
                <w:highlight w:val="none"/>
              </w:rPr>
            </w:pPr>
          </w:p>
        </w:tc>
        <w:tc>
          <w:tcPr>
            <w:tcW w:w="1228" w:type="dxa"/>
            <w:vMerge w:val="continue"/>
            <w:tcBorders>
              <w:top w:val="nil"/>
              <w:left w:val="single" w:color="auto" w:sz="4" w:space="0"/>
              <w:bottom w:val="single" w:color="auto" w:sz="4" w:space="0"/>
              <w:right w:val="single" w:color="auto" w:sz="4" w:space="0"/>
            </w:tcBorders>
            <w:vAlign w:val="center"/>
          </w:tcPr>
          <w:p w14:paraId="21D0CAD6">
            <w:pPr>
              <w:widowControl/>
              <w:jc w:val="left"/>
              <w:rPr>
                <w:rFonts w:ascii="仿宋_GB2312" w:eastAsia="仿宋_GB2312"/>
                <w:color w:val="auto"/>
                <w:sz w:val="24"/>
                <w:highlight w:val="none"/>
              </w:rPr>
            </w:pPr>
          </w:p>
        </w:tc>
        <w:tc>
          <w:tcPr>
            <w:tcW w:w="1203" w:type="dxa"/>
            <w:tcBorders>
              <w:top w:val="single" w:color="auto" w:sz="4" w:space="0"/>
              <w:left w:val="single" w:color="auto" w:sz="4" w:space="0"/>
              <w:bottom w:val="single" w:color="auto" w:sz="4" w:space="0"/>
              <w:right w:val="single" w:color="auto" w:sz="4" w:space="0"/>
            </w:tcBorders>
            <w:vAlign w:val="center"/>
          </w:tcPr>
          <w:p w14:paraId="4251AEBD">
            <w:pPr>
              <w:jc w:val="center"/>
              <w:rPr>
                <w:rFonts w:ascii="仿宋_GB2312" w:eastAsia="仿宋_GB2312"/>
                <w:color w:val="auto"/>
                <w:sz w:val="24"/>
                <w:highlight w:val="none"/>
              </w:rPr>
            </w:pPr>
            <w:r>
              <w:rPr>
                <w:rFonts w:hint="eastAsia" w:ascii="仿宋_GB2312" w:eastAsia="仿宋_GB2312"/>
                <w:color w:val="auto"/>
                <w:sz w:val="24"/>
                <w:highlight w:val="none"/>
              </w:rPr>
              <w:t>项目人员</w:t>
            </w: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51694C01">
            <w:pPr>
              <w:jc w:val="center"/>
              <w:rPr>
                <w:rFonts w:ascii="仿宋_GB2312" w:eastAsia="仿宋_GB2312"/>
                <w:color w:val="auto"/>
                <w:sz w:val="24"/>
                <w:highlight w:val="none"/>
              </w:rPr>
            </w:pPr>
          </w:p>
        </w:tc>
      </w:tr>
      <w:tr w14:paraId="28879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22B6E688">
            <w:pPr>
              <w:jc w:val="center"/>
              <w:rPr>
                <w:rFonts w:ascii="仿宋_GB2312" w:eastAsia="仿宋_GB2312"/>
                <w:color w:val="auto"/>
                <w:sz w:val="24"/>
                <w:highlight w:val="none"/>
              </w:rPr>
            </w:pPr>
            <w:r>
              <w:rPr>
                <w:rFonts w:hint="eastAsia" w:ascii="仿宋_GB2312" w:eastAsia="仿宋_GB2312"/>
                <w:color w:val="auto"/>
                <w:sz w:val="24"/>
                <w:highlight w:val="none"/>
              </w:rPr>
              <w:t>账    号</w:t>
            </w:r>
          </w:p>
        </w:tc>
        <w:tc>
          <w:tcPr>
            <w:tcW w:w="2178" w:type="dxa"/>
            <w:gridSpan w:val="2"/>
            <w:tcBorders>
              <w:top w:val="single" w:color="auto" w:sz="4" w:space="0"/>
              <w:left w:val="single" w:color="auto" w:sz="4" w:space="0"/>
              <w:bottom w:val="single" w:color="auto" w:sz="4" w:space="0"/>
              <w:right w:val="single" w:color="auto" w:sz="4" w:space="0"/>
            </w:tcBorders>
            <w:vAlign w:val="center"/>
          </w:tcPr>
          <w:p w14:paraId="318E4AFF">
            <w:pPr>
              <w:jc w:val="center"/>
              <w:rPr>
                <w:rFonts w:ascii="仿宋_GB2312" w:eastAsia="仿宋_GB2312"/>
                <w:color w:val="auto"/>
                <w:sz w:val="24"/>
                <w:highlight w:val="none"/>
              </w:rPr>
            </w:pPr>
          </w:p>
        </w:tc>
        <w:tc>
          <w:tcPr>
            <w:tcW w:w="1228" w:type="dxa"/>
            <w:vMerge w:val="continue"/>
            <w:tcBorders>
              <w:top w:val="nil"/>
              <w:left w:val="single" w:color="auto" w:sz="4" w:space="0"/>
              <w:bottom w:val="single" w:color="auto" w:sz="4" w:space="0"/>
              <w:right w:val="single" w:color="auto" w:sz="4" w:space="0"/>
            </w:tcBorders>
            <w:vAlign w:val="center"/>
          </w:tcPr>
          <w:p w14:paraId="72D6347E">
            <w:pPr>
              <w:widowControl/>
              <w:jc w:val="left"/>
              <w:rPr>
                <w:rFonts w:ascii="仿宋_GB2312" w:eastAsia="仿宋_GB2312"/>
                <w:color w:val="auto"/>
                <w:sz w:val="24"/>
                <w:highlight w:val="none"/>
              </w:rPr>
            </w:pPr>
          </w:p>
        </w:tc>
        <w:tc>
          <w:tcPr>
            <w:tcW w:w="1203" w:type="dxa"/>
            <w:tcBorders>
              <w:top w:val="single" w:color="auto" w:sz="4" w:space="0"/>
              <w:left w:val="single" w:color="auto" w:sz="4" w:space="0"/>
              <w:bottom w:val="single" w:color="auto" w:sz="4" w:space="0"/>
              <w:right w:val="single" w:color="auto" w:sz="4" w:space="0"/>
            </w:tcBorders>
            <w:vAlign w:val="center"/>
          </w:tcPr>
          <w:p w14:paraId="1286AE37">
            <w:pPr>
              <w:jc w:val="center"/>
              <w:rPr>
                <w:rFonts w:ascii="仿宋_GB2312" w:eastAsia="仿宋_GB2312"/>
                <w:color w:val="auto"/>
                <w:sz w:val="24"/>
                <w:highlight w:val="none"/>
              </w:rPr>
            </w:pPr>
            <w:r>
              <w:rPr>
                <w:rFonts w:hint="eastAsia" w:ascii="仿宋_GB2312" w:eastAsia="仿宋_GB2312"/>
                <w:color w:val="auto"/>
                <w:sz w:val="24"/>
                <w:highlight w:val="none"/>
              </w:rPr>
              <w:t>其他人员</w:t>
            </w:r>
          </w:p>
        </w:tc>
        <w:tc>
          <w:tcPr>
            <w:tcW w:w="2512" w:type="dxa"/>
            <w:gridSpan w:val="2"/>
            <w:tcBorders>
              <w:top w:val="single" w:color="auto" w:sz="4" w:space="0"/>
              <w:left w:val="single" w:color="auto" w:sz="4" w:space="0"/>
              <w:bottom w:val="single" w:color="auto" w:sz="4" w:space="0"/>
              <w:right w:val="single" w:color="auto" w:sz="4" w:space="0"/>
            </w:tcBorders>
            <w:vAlign w:val="center"/>
          </w:tcPr>
          <w:p w14:paraId="1C5A8467">
            <w:pPr>
              <w:jc w:val="center"/>
              <w:rPr>
                <w:rFonts w:ascii="仿宋_GB2312" w:eastAsia="仿宋_GB2312"/>
                <w:color w:val="auto"/>
                <w:sz w:val="24"/>
                <w:highlight w:val="none"/>
              </w:rPr>
            </w:pPr>
          </w:p>
        </w:tc>
      </w:tr>
      <w:tr w14:paraId="3036D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59AD1B6F">
            <w:pPr>
              <w:jc w:val="center"/>
              <w:rPr>
                <w:rFonts w:ascii="仿宋_GB2312" w:eastAsia="仿宋_GB2312"/>
                <w:color w:val="auto"/>
                <w:sz w:val="24"/>
                <w:highlight w:val="none"/>
              </w:rPr>
            </w:pPr>
            <w:r>
              <w:rPr>
                <w:rFonts w:hint="eastAsia" w:ascii="仿宋_GB2312" w:eastAsia="仿宋_GB2312"/>
                <w:color w:val="auto"/>
                <w:sz w:val="24"/>
                <w:highlight w:val="none"/>
              </w:rPr>
              <w:t>经营范围</w:t>
            </w:r>
          </w:p>
        </w:tc>
        <w:tc>
          <w:tcPr>
            <w:tcW w:w="7121" w:type="dxa"/>
            <w:gridSpan w:val="6"/>
            <w:tcBorders>
              <w:top w:val="single" w:color="auto" w:sz="4" w:space="0"/>
              <w:left w:val="single" w:color="auto" w:sz="4" w:space="0"/>
              <w:bottom w:val="single" w:color="auto" w:sz="4" w:space="0"/>
              <w:right w:val="single" w:color="auto" w:sz="4" w:space="0"/>
            </w:tcBorders>
            <w:vAlign w:val="center"/>
          </w:tcPr>
          <w:p w14:paraId="3E484C62">
            <w:pPr>
              <w:jc w:val="center"/>
              <w:rPr>
                <w:rFonts w:ascii="仿宋_GB2312" w:eastAsia="仿宋_GB2312"/>
                <w:color w:val="auto"/>
                <w:sz w:val="24"/>
                <w:highlight w:val="none"/>
              </w:rPr>
            </w:pPr>
          </w:p>
        </w:tc>
      </w:tr>
      <w:tr w14:paraId="78575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838" w:type="dxa"/>
            <w:tcBorders>
              <w:top w:val="single" w:color="auto" w:sz="4" w:space="0"/>
              <w:left w:val="single" w:color="auto" w:sz="4" w:space="0"/>
              <w:bottom w:val="single" w:color="auto" w:sz="4" w:space="0"/>
              <w:right w:val="single" w:color="auto" w:sz="4" w:space="0"/>
            </w:tcBorders>
            <w:vAlign w:val="center"/>
          </w:tcPr>
          <w:p w14:paraId="340B43EA">
            <w:pPr>
              <w:jc w:val="center"/>
              <w:rPr>
                <w:rFonts w:ascii="仿宋_GB2312" w:eastAsia="仿宋_GB2312"/>
                <w:color w:val="auto"/>
                <w:sz w:val="24"/>
                <w:highlight w:val="none"/>
              </w:rPr>
            </w:pPr>
            <w:r>
              <w:rPr>
                <w:rFonts w:hint="eastAsia" w:ascii="仿宋_GB2312" w:eastAsia="仿宋_GB2312"/>
                <w:color w:val="auto"/>
                <w:sz w:val="24"/>
                <w:highlight w:val="none"/>
              </w:rPr>
              <w:t>备注</w:t>
            </w:r>
          </w:p>
        </w:tc>
        <w:tc>
          <w:tcPr>
            <w:tcW w:w="7121" w:type="dxa"/>
            <w:gridSpan w:val="6"/>
            <w:tcBorders>
              <w:top w:val="single" w:color="auto" w:sz="4" w:space="0"/>
              <w:left w:val="single" w:color="auto" w:sz="4" w:space="0"/>
              <w:bottom w:val="single" w:color="auto" w:sz="4" w:space="0"/>
              <w:right w:val="single" w:color="auto" w:sz="4" w:space="0"/>
            </w:tcBorders>
            <w:vAlign w:val="center"/>
          </w:tcPr>
          <w:p w14:paraId="4F29D9BA">
            <w:pPr>
              <w:jc w:val="center"/>
              <w:rPr>
                <w:rFonts w:ascii="仿宋_GB2312" w:eastAsia="仿宋_GB2312"/>
                <w:color w:val="auto"/>
                <w:sz w:val="24"/>
                <w:highlight w:val="none"/>
              </w:rPr>
            </w:pPr>
          </w:p>
        </w:tc>
      </w:tr>
    </w:tbl>
    <w:p w14:paraId="5C351536">
      <w:pPr>
        <w:adjustRightInd w:val="0"/>
        <w:snapToGrid w:val="0"/>
        <w:jc w:val="left"/>
        <w:outlineLvl w:val="1"/>
        <w:rPr>
          <w:rFonts w:ascii="仿宋_GB2312" w:eastAsia="仿宋_GB2312"/>
          <w:b/>
          <w:bCs/>
          <w:color w:val="auto"/>
          <w:sz w:val="28"/>
          <w:szCs w:val="28"/>
          <w:highlight w:val="none"/>
        </w:rPr>
        <w:sectPr>
          <w:pgSz w:w="11906" w:h="16838"/>
          <w:pgMar w:top="1468" w:right="1803" w:bottom="1113" w:left="1803" w:header="851" w:footer="899" w:gutter="0"/>
          <w:pgBorders>
            <w:top w:val="none" w:sz="0" w:space="0"/>
            <w:left w:val="none" w:sz="0" w:space="0"/>
            <w:bottom w:val="none" w:sz="0" w:space="0"/>
            <w:right w:val="none" w:sz="0" w:space="0"/>
          </w:pgBorders>
          <w:cols w:space="720" w:num="1"/>
          <w:docGrid w:type="linesAndChars" w:linePitch="319" w:charSpace="0"/>
        </w:sectPr>
      </w:pPr>
    </w:p>
    <w:p w14:paraId="4DA98ED6">
      <w:pPr>
        <w:spacing w:before="159" w:beforeLines="50" w:after="159" w:afterLines="50" w:line="360" w:lineRule="auto"/>
        <w:ind w:right="-21" w:rightChars="-1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附表2</w:t>
      </w:r>
    </w:p>
    <w:p w14:paraId="2F281BC9">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202</w:t>
      </w:r>
      <w:r>
        <w:rPr>
          <w:rFonts w:hint="eastAsia" w:ascii="方正小标宋简体" w:hAnsi="仿宋_GB2312" w:eastAsia="方正小标宋简体" w:cs="仿宋_GB2312"/>
          <w:color w:val="auto"/>
          <w:sz w:val="32"/>
          <w:szCs w:val="32"/>
          <w:highlight w:val="none"/>
          <w:lang w:val="en-US" w:eastAsia="zh-CN"/>
        </w:rPr>
        <w:t>2</w:t>
      </w:r>
      <w:r>
        <w:rPr>
          <w:rFonts w:hint="eastAsia" w:ascii="方正小标宋简体" w:hAnsi="仿宋_GB2312" w:eastAsia="方正小标宋简体" w:cs="仿宋_GB2312"/>
          <w:color w:val="auto"/>
          <w:sz w:val="32"/>
          <w:szCs w:val="32"/>
          <w:highlight w:val="none"/>
        </w:rPr>
        <w:t>年</w:t>
      </w:r>
      <w:r>
        <w:rPr>
          <w:rFonts w:hint="eastAsia" w:ascii="方正小标宋简体" w:hAnsi="仿宋_GB2312" w:eastAsia="方正小标宋简体" w:cs="仿宋_GB2312"/>
          <w:color w:val="auto"/>
          <w:sz w:val="32"/>
          <w:szCs w:val="32"/>
          <w:highlight w:val="none"/>
          <w:lang w:val="en-US" w:eastAsia="zh-CN"/>
        </w:rPr>
        <w:t>1</w:t>
      </w:r>
      <w:r>
        <w:rPr>
          <w:rFonts w:hint="eastAsia" w:ascii="方正小标宋简体" w:hAnsi="仿宋_GB2312" w:eastAsia="方正小标宋简体" w:cs="仿宋_GB2312"/>
          <w:color w:val="auto"/>
          <w:sz w:val="32"/>
          <w:szCs w:val="32"/>
          <w:highlight w:val="none"/>
        </w:rPr>
        <w:t>月1日至今类似项目业绩汇总表</w:t>
      </w:r>
    </w:p>
    <w:tbl>
      <w:tblPr>
        <w:tblStyle w:val="25"/>
        <w:tblW w:w="83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705"/>
        <w:gridCol w:w="3241"/>
        <w:gridCol w:w="3243"/>
        <w:gridCol w:w="1127"/>
      </w:tblGrid>
      <w:tr w14:paraId="7A887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68" w:hRule="atLeast"/>
          <w:jc w:val="center"/>
        </w:trPr>
        <w:tc>
          <w:tcPr>
            <w:tcW w:w="705" w:type="dxa"/>
            <w:tcBorders>
              <w:top w:val="single" w:color="000000" w:sz="6" w:space="0"/>
              <w:left w:val="single" w:color="000000" w:sz="6" w:space="0"/>
              <w:bottom w:val="single" w:color="000000" w:sz="6" w:space="0"/>
              <w:right w:val="single" w:color="000000" w:sz="6" w:space="0"/>
            </w:tcBorders>
            <w:vAlign w:val="center"/>
          </w:tcPr>
          <w:p w14:paraId="7E77270A">
            <w:pPr>
              <w:jc w:val="center"/>
              <w:rPr>
                <w:rFonts w:ascii="仿宋_GB2312" w:eastAsia="仿宋_GB2312"/>
                <w:color w:val="auto"/>
                <w:sz w:val="24"/>
                <w:highlight w:val="none"/>
              </w:rPr>
            </w:pPr>
            <w:r>
              <w:rPr>
                <w:rFonts w:hint="eastAsia" w:ascii="仿宋_GB2312" w:eastAsia="仿宋_GB2312"/>
                <w:color w:val="auto"/>
                <w:sz w:val="24"/>
                <w:highlight w:val="none"/>
              </w:rPr>
              <w:t>序号</w:t>
            </w:r>
          </w:p>
        </w:tc>
        <w:tc>
          <w:tcPr>
            <w:tcW w:w="3241" w:type="dxa"/>
            <w:tcBorders>
              <w:top w:val="single" w:color="000000" w:sz="6" w:space="0"/>
              <w:left w:val="nil"/>
              <w:bottom w:val="single" w:color="000000" w:sz="6" w:space="0"/>
              <w:right w:val="single" w:color="000000" w:sz="6" w:space="0"/>
            </w:tcBorders>
            <w:vAlign w:val="center"/>
          </w:tcPr>
          <w:p w14:paraId="1965100A">
            <w:pPr>
              <w:jc w:val="center"/>
              <w:rPr>
                <w:rFonts w:ascii="仿宋_GB2312" w:eastAsia="仿宋_GB2312"/>
                <w:color w:val="auto"/>
                <w:sz w:val="24"/>
                <w:highlight w:val="none"/>
              </w:rPr>
            </w:pPr>
            <w:r>
              <w:rPr>
                <w:rFonts w:hint="eastAsia" w:ascii="仿宋_GB2312" w:hAnsi="宋体" w:eastAsia="仿宋_GB2312"/>
                <w:color w:val="auto"/>
                <w:sz w:val="24"/>
                <w:highlight w:val="none"/>
              </w:rPr>
              <w:t>合同名称</w:t>
            </w:r>
          </w:p>
        </w:tc>
        <w:tc>
          <w:tcPr>
            <w:tcW w:w="3243" w:type="dxa"/>
            <w:tcBorders>
              <w:top w:val="single" w:color="000000" w:sz="6" w:space="0"/>
              <w:left w:val="nil"/>
              <w:bottom w:val="single" w:color="000000" w:sz="6" w:space="0"/>
              <w:right w:val="single" w:color="000000" w:sz="6" w:space="0"/>
            </w:tcBorders>
            <w:vAlign w:val="center"/>
          </w:tcPr>
          <w:p w14:paraId="4D2B4D73">
            <w:pPr>
              <w:jc w:val="center"/>
              <w:rPr>
                <w:rFonts w:ascii="仿宋_GB2312" w:eastAsia="仿宋_GB2312"/>
                <w:color w:val="auto"/>
                <w:sz w:val="24"/>
                <w:highlight w:val="none"/>
              </w:rPr>
            </w:pPr>
            <w:r>
              <w:rPr>
                <w:rFonts w:hint="eastAsia" w:ascii="仿宋_GB2312" w:eastAsia="仿宋_GB2312"/>
                <w:color w:val="auto"/>
                <w:sz w:val="24"/>
                <w:highlight w:val="none"/>
              </w:rPr>
              <w:t>合同</w:t>
            </w:r>
            <w:r>
              <w:rPr>
                <w:rFonts w:hint="eastAsia" w:ascii="仿宋_GB2312" w:eastAsia="仿宋_GB2312"/>
                <w:color w:val="auto"/>
                <w:sz w:val="24"/>
                <w:highlight w:val="none"/>
                <w:lang w:val="en-US" w:eastAsia="zh-CN"/>
              </w:rPr>
              <w:t>签订</w:t>
            </w:r>
            <w:r>
              <w:rPr>
                <w:rFonts w:hint="eastAsia" w:ascii="仿宋_GB2312" w:eastAsia="仿宋_GB2312"/>
                <w:color w:val="auto"/>
                <w:sz w:val="24"/>
                <w:highlight w:val="none"/>
              </w:rPr>
              <w:t>时间</w:t>
            </w:r>
          </w:p>
        </w:tc>
        <w:tc>
          <w:tcPr>
            <w:tcW w:w="1127" w:type="dxa"/>
            <w:tcBorders>
              <w:top w:val="single" w:color="000000" w:sz="6" w:space="0"/>
              <w:left w:val="nil"/>
              <w:bottom w:val="single" w:color="000000" w:sz="6" w:space="0"/>
              <w:right w:val="single" w:color="auto" w:sz="4" w:space="0"/>
            </w:tcBorders>
            <w:vAlign w:val="center"/>
          </w:tcPr>
          <w:p w14:paraId="51155CB6">
            <w:pPr>
              <w:jc w:val="center"/>
              <w:rPr>
                <w:rFonts w:ascii="仿宋_GB2312" w:eastAsia="仿宋_GB2312"/>
                <w:color w:val="auto"/>
                <w:sz w:val="24"/>
                <w:highlight w:val="none"/>
              </w:rPr>
            </w:pPr>
            <w:r>
              <w:rPr>
                <w:rFonts w:hint="eastAsia" w:ascii="仿宋_GB2312" w:eastAsia="仿宋_GB2312"/>
                <w:color w:val="auto"/>
                <w:sz w:val="24"/>
                <w:highlight w:val="none"/>
              </w:rPr>
              <w:t>备注</w:t>
            </w:r>
          </w:p>
        </w:tc>
      </w:tr>
      <w:tr w14:paraId="63462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1" w:hRule="atLeast"/>
          <w:jc w:val="center"/>
        </w:trPr>
        <w:tc>
          <w:tcPr>
            <w:tcW w:w="705" w:type="dxa"/>
            <w:tcBorders>
              <w:top w:val="single" w:color="auto" w:sz="6" w:space="0"/>
              <w:left w:val="single" w:color="000000" w:sz="6" w:space="0"/>
              <w:bottom w:val="single" w:color="000000" w:sz="6" w:space="0"/>
              <w:right w:val="single" w:color="000000" w:sz="6" w:space="0"/>
            </w:tcBorders>
            <w:vAlign w:val="center"/>
          </w:tcPr>
          <w:p w14:paraId="20867C51">
            <w:pPr>
              <w:jc w:val="center"/>
              <w:rPr>
                <w:rFonts w:ascii="仿宋_GB2312" w:eastAsia="仿宋_GB2312"/>
                <w:color w:val="auto"/>
                <w:sz w:val="24"/>
                <w:highlight w:val="none"/>
              </w:rPr>
            </w:pPr>
          </w:p>
        </w:tc>
        <w:tc>
          <w:tcPr>
            <w:tcW w:w="3241" w:type="dxa"/>
            <w:tcBorders>
              <w:top w:val="single" w:color="auto" w:sz="6" w:space="0"/>
              <w:left w:val="nil"/>
              <w:bottom w:val="single" w:color="000000" w:sz="6" w:space="0"/>
              <w:right w:val="single" w:color="000000" w:sz="6" w:space="0"/>
            </w:tcBorders>
            <w:vAlign w:val="center"/>
          </w:tcPr>
          <w:p w14:paraId="578E3AA9">
            <w:pPr>
              <w:jc w:val="center"/>
              <w:rPr>
                <w:rFonts w:ascii="仿宋_GB2312" w:eastAsia="仿宋_GB2312"/>
                <w:color w:val="auto"/>
                <w:sz w:val="24"/>
                <w:highlight w:val="none"/>
              </w:rPr>
            </w:pPr>
          </w:p>
        </w:tc>
        <w:tc>
          <w:tcPr>
            <w:tcW w:w="3243" w:type="dxa"/>
            <w:tcBorders>
              <w:top w:val="single" w:color="auto" w:sz="6" w:space="0"/>
              <w:left w:val="nil"/>
              <w:bottom w:val="single" w:color="000000" w:sz="6" w:space="0"/>
              <w:right w:val="single" w:color="000000" w:sz="6" w:space="0"/>
            </w:tcBorders>
            <w:vAlign w:val="center"/>
          </w:tcPr>
          <w:p w14:paraId="3CCCF6CB">
            <w:pPr>
              <w:jc w:val="center"/>
              <w:rPr>
                <w:rFonts w:ascii="仿宋_GB2312" w:eastAsia="仿宋_GB2312"/>
                <w:color w:val="auto"/>
                <w:sz w:val="24"/>
                <w:highlight w:val="none"/>
              </w:rPr>
            </w:pPr>
          </w:p>
        </w:tc>
        <w:tc>
          <w:tcPr>
            <w:tcW w:w="1127" w:type="dxa"/>
            <w:tcBorders>
              <w:top w:val="single" w:color="auto" w:sz="6" w:space="0"/>
              <w:left w:val="nil"/>
              <w:bottom w:val="single" w:color="000000" w:sz="6" w:space="0"/>
              <w:right w:val="single" w:color="auto" w:sz="4" w:space="0"/>
            </w:tcBorders>
            <w:vAlign w:val="center"/>
          </w:tcPr>
          <w:p w14:paraId="2AD4428C">
            <w:pPr>
              <w:jc w:val="center"/>
              <w:rPr>
                <w:rFonts w:ascii="仿宋_GB2312" w:eastAsia="仿宋_GB2312"/>
                <w:color w:val="auto"/>
                <w:sz w:val="24"/>
                <w:highlight w:val="none"/>
              </w:rPr>
            </w:pPr>
          </w:p>
        </w:tc>
      </w:tr>
      <w:tr w14:paraId="07EE2E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2" w:hRule="atLeast"/>
          <w:jc w:val="center"/>
        </w:trPr>
        <w:tc>
          <w:tcPr>
            <w:tcW w:w="705" w:type="dxa"/>
            <w:tcBorders>
              <w:top w:val="single" w:color="auto" w:sz="6" w:space="0"/>
              <w:left w:val="single" w:color="000000" w:sz="6" w:space="0"/>
              <w:bottom w:val="single" w:color="000000" w:sz="6" w:space="0"/>
              <w:right w:val="single" w:color="000000" w:sz="6" w:space="0"/>
            </w:tcBorders>
            <w:vAlign w:val="center"/>
          </w:tcPr>
          <w:p w14:paraId="2BB1FFC5">
            <w:pPr>
              <w:jc w:val="center"/>
              <w:rPr>
                <w:rFonts w:ascii="仿宋_GB2312" w:eastAsia="仿宋_GB2312"/>
                <w:color w:val="auto"/>
                <w:sz w:val="24"/>
                <w:highlight w:val="none"/>
              </w:rPr>
            </w:pPr>
          </w:p>
        </w:tc>
        <w:tc>
          <w:tcPr>
            <w:tcW w:w="3241" w:type="dxa"/>
            <w:tcBorders>
              <w:top w:val="single" w:color="auto" w:sz="6" w:space="0"/>
              <w:left w:val="nil"/>
              <w:bottom w:val="single" w:color="000000" w:sz="6" w:space="0"/>
              <w:right w:val="single" w:color="000000" w:sz="6" w:space="0"/>
            </w:tcBorders>
            <w:vAlign w:val="center"/>
          </w:tcPr>
          <w:p w14:paraId="6EDD2DAB">
            <w:pPr>
              <w:jc w:val="center"/>
              <w:rPr>
                <w:rFonts w:ascii="仿宋_GB2312" w:eastAsia="仿宋_GB2312"/>
                <w:color w:val="auto"/>
                <w:sz w:val="24"/>
                <w:highlight w:val="none"/>
              </w:rPr>
            </w:pPr>
          </w:p>
        </w:tc>
        <w:tc>
          <w:tcPr>
            <w:tcW w:w="3243" w:type="dxa"/>
            <w:tcBorders>
              <w:top w:val="single" w:color="auto" w:sz="6" w:space="0"/>
              <w:left w:val="nil"/>
              <w:bottom w:val="single" w:color="000000" w:sz="6" w:space="0"/>
              <w:right w:val="single" w:color="000000" w:sz="6" w:space="0"/>
            </w:tcBorders>
            <w:vAlign w:val="center"/>
          </w:tcPr>
          <w:p w14:paraId="5C572AB9">
            <w:pPr>
              <w:jc w:val="center"/>
              <w:rPr>
                <w:rFonts w:ascii="仿宋_GB2312" w:eastAsia="仿宋_GB2312"/>
                <w:color w:val="auto"/>
                <w:sz w:val="24"/>
                <w:highlight w:val="none"/>
              </w:rPr>
            </w:pPr>
          </w:p>
        </w:tc>
        <w:tc>
          <w:tcPr>
            <w:tcW w:w="1127" w:type="dxa"/>
            <w:tcBorders>
              <w:top w:val="single" w:color="auto" w:sz="6" w:space="0"/>
              <w:left w:val="nil"/>
              <w:bottom w:val="single" w:color="000000" w:sz="6" w:space="0"/>
              <w:right w:val="single" w:color="auto" w:sz="4" w:space="0"/>
            </w:tcBorders>
            <w:vAlign w:val="center"/>
          </w:tcPr>
          <w:p w14:paraId="04587B86">
            <w:pPr>
              <w:jc w:val="center"/>
              <w:rPr>
                <w:rFonts w:ascii="仿宋_GB2312" w:eastAsia="仿宋_GB2312"/>
                <w:color w:val="auto"/>
                <w:sz w:val="24"/>
                <w:highlight w:val="none"/>
              </w:rPr>
            </w:pPr>
          </w:p>
        </w:tc>
      </w:tr>
      <w:tr w14:paraId="2F0BF1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3" w:hRule="atLeast"/>
          <w:jc w:val="center"/>
        </w:trPr>
        <w:tc>
          <w:tcPr>
            <w:tcW w:w="705" w:type="dxa"/>
            <w:tcBorders>
              <w:top w:val="single" w:color="auto" w:sz="6" w:space="0"/>
              <w:left w:val="single" w:color="000000" w:sz="6" w:space="0"/>
              <w:bottom w:val="single" w:color="000000" w:sz="6" w:space="0"/>
              <w:right w:val="single" w:color="000000" w:sz="6" w:space="0"/>
            </w:tcBorders>
            <w:vAlign w:val="center"/>
          </w:tcPr>
          <w:p w14:paraId="38D9009E">
            <w:pPr>
              <w:jc w:val="center"/>
              <w:rPr>
                <w:rFonts w:ascii="仿宋_GB2312" w:eastAsia="仿宋_GB2312"/>
                <w:color w:val="auto"/>
                <w:sz w:val="24"/>
                <w:highlight w:val="none"/>
              </w:rPr>
            </w:pPr>
          </w:p>
        </w:tc>
        <w:tc>
          <w:tcPr>
            <w:tcW w:w="3241" w:type="dxa"/>
            <w:tcBorders>
              <w:top w:val="single" w:color="auto" w:sz="6" w:space="0"/>
              <w:left w:val="nil"/>
              <w:bottom w:val="single" w:color="000000" w:sz="6" w:space="0"/>
              <w:right w:val="single" w:color="000000" w:sz="6" w:space="0"/>
            </w:tcBorders>
            <w:vAlign w:val="center"/>
          </w:tcPr>
          <w:p w14:paraId="7B638E7E">
            <w:pPr>
              <w:jc w:val="center"/>
              <w:rPr>
                <w:rFonts w:ascii="仿宋_GB2312" w:eastAsia="仿宋_GB2312"/>
                <w:color w:val="auto"/>
                <w:sz w:val="24"/>
                <w:highlight w:val="none"/>
              </w:rPr>
            </w:pPr>
          </w:p>
        </w:tc>
        <w:tc>
          <w:tcPr>
            <w:tcW w:w="3243" w:type="dxa"/>
            <w:tcBorders>
              <w:top w:val="single" w:color="auto" w:sz="6" w:space="0"/>
              <w:left w:val="nil"/>
              <w:bottom w:val="single" w:color="000000" w:sz="6" w:space="0"/>
              <w:right w:val="single" w:color="000000" w:sz="6" w:space="0"/>
            </w:tcBorders>
            <w:vAlign w:val="center"/>
          </w:tcPr>
          <w:p w14:paraId="39DE5E5C">
            <w:pPr>
              <w:jc w:val="center"/>
              <w:rPr>
                <w:rFonts w:ascii="仿宋_GB2312" w:eastAsia="仿宋_GB2312"/>
                <w:color w:val="auto"/>
                <w:sz w:val="24"/>
                <w:highlight w:val="none"/>
              </w:rPr>
            </w:pPr>
          </w:p>
        </w:tc>
        <w:tc>
          <w:tcPr>
            <w:tcW w:w="1127" w:type="dxa"/>
            <w:tcBorders>
              <w:top w:val="single" w:color="auto" w:sz="6" w:space="0"/>
              <w:left w:val="nil"/>
              <w:bottom w:val="single" w:color="000000" w:sz="6" w:space="0"/>
              <w:right w:val="single" w:color="auto" w:sz="4" w:space="0"/>
            </w:tcBorders>
            <w:vAlign w:val="center"/>
          </w:tcPr>
          <w:p w14:paraId="77E8DD6B">
            <w:pPr>
              <w:jc w:val="center"/>
              <w:rPr>
                <w:rFonts w:ascii="仿宋_GB2312" w:eastAsia="仿宋_GB2312"/>
                <w:color w:val="auto"/>
                <w:sz w:val="24"/>
                <w:highlight w:val="none"/>
              </w:rPr>
            </w:pPr>
          </w:p>
        </w:tc>
      </w:tr>
      <w:tr w14:paraId="1F2E9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23" w:hRule="atLeast"/>
          <w:jc w:val="center"/>
        </w:trPr>
        <w:tc>
          <w:tcPr>
            <w:tcW w:w="705" w:type="dxa"/>
            <w:tcBorders>
              <w:top w:val="single" w:color="auto" w:sz="6" w:space="0"/>
              <w:left w:val="single" w:color="000000" w:sz="6" w:space="0"/>
              <w:bottom w:val="single" w:color="000000" w:sz="6" w:space="0"/>
              <w:right w:val="single" w:color="000000" w:sz="6" w:space="0"/>
            </w:tcBorders>
            <w:vAlign w:val="center"/>
          </w:tcPr>
          <w:p w14:paraId="37BEF129">
            <w:pPr>
              <w:jc w:val="center"/>
              <w:rPr>
                <w:rFonts w:ascii="仿宋_GB2312" w:eastAsia="仿宋_GB2312"/>
                <w:color w:val="auto"/>
                <w:sz w:val="24"/>
                <w:highlight w:val="none"/>
              </w:rPr>
            </w:pPr>
          </w:p>
        </w:tc>
        <w:tc>
          <w:tcPr>
            <w:tcW w:w="3241" w:type="dxa"/>
            <w:tcBorders>
              <w:top w:val="single" w:color="auto" w:sz="6" w:space="0"/>
              <w:left w:val="nil"/>
              <w:bottom w:val="single" w:color="000000" w:sz="6" w:space="0"/>
              <w:right w:val="single" w:color="000000" w:sz="6" w:space="0"/>
            </w:tcBorders>
            <w:vAlign w:val="center"/>
          </w:tcPr>
          <w:p w14:paraId="1703635E">
            <w:pPr>
              <w:jc w:val="center"/>
              <w:rPr>
                <w:rFonts w:ascii="仿宋_GB2312" w:eastAsia="仿宋_GB2312"/>
                <w:color w:val="auto"/>
                <w:sz w:val="24"/>
                <w:highlight w:val="none"/>
              </w:rPr>
            </w:pPr>
          </w:p>
        </w:tc>
        <w:tc>
          <w:tcPr>
            <w:tcW w:w="3243" w:type="dxa"/>
            <w:tcBorders>
              <w:top w:val="single" w:color="auto" w:sz="6" w:space="0"/>
              <w:left w:val="nil"/>
              <w:bottom w:val="single" w:color="000000" w:sz="6" w:space="0"/>
              <w:right w:val="single" w:color="000000" w:sz="6" w:space="0"/>
            </w:tcBorders>
            <w:vAlign w:val="center"/>
          </w:tcPr>
          <w:p w14:paraId="7A1FEE93">
            <w:pPr>
              <w:jc w:val="center"/>
              <w:rPr>
                <w:rFonts w:ascii="仿宋_GB2312" w:eastAsia="仿宋_GB2312"/>
                <w:color w:val="auto"/>
                <w:sz w:val="24"/>
                <w:highlight w:val="none"/>
              </w:rPr>
            </w:pPr>
          </w:p>
        </w:tc>
        <w:tc>
          <w:tcPr>
            <w:tcW w:w="1127" w:type="dxa"/>
            <w:tcBorders>
              <w:top w:val="single" w:color="auto" w:sz="6" w:space="0"/>
              <w:left w:val="nil"/>
              <w:bottom w:val="single" w:color="000000" w:sz="6" w:space="0"/>
              <w:right w:val="single" w:color="auto" w:sz="4" w:space="0"/>
            </w:tcBorders>
            <w:vAlign w:val="center"/>
          </w:tcPr>
          <w:p w14:paraId="63556991">
            <w:pPr>
              <w:jc w:val="center"/>
              <w:rPr>
                <w:rFonts w:ascii="仿宋_GB2312" w:eastAsia="仿宋_GB2312"/>
                <w:color w:val="auto"/>
                <w:sz w:val="24"/>
                <w:highlight w:val="none"/>
              </w:rPr>
            </w:pPr>
          </w:p>
        </w:tc>
      </w:tr>
      <w:tr w14:paraId="047E1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36" w:hRule="atLeast"/>
          <w:jc w:val="center"/>
        </w:trPr>
        <w:tc>
          <w:tcPr>
            <w:tcW w:w="705" w:type="dxa"/>
            <w:tcBorders>
              <w:top w:val="single" w:color="auto" w:sz="6" w:space="0"/>
              <w:left w:val="single" w:color="000000" w:sz="6" w:space="0"/>
              <w:bottom w:val="single" w:color="000000" w:sz="6" w:space="0"/>
              <w:right w:val="single" w:color="000000" w:sz="6" w:space="0"/>
            </w:tcBorders>
            <w:vAlign w:val="center"/>
          </w:tcPr>
          <w:p w14:paraId="49B5C961">
            <w:pPr>
              <w:jc w:val="center"/>
              <w:rPr>
                <w:rFonts w:ascii="仿宋_GB2312" w:eastAsia="仿宋_GB2312"/>
                <w:color w:val="auto"/>
                <w:sz w:val="24"/>
                <w:highlight w:val="none"/>
              </w:rPr>
            </w:pPr>
          </w:p>
        </w:tc>
        <w:tc>
          <w:tcPr>
            <w:tcW w:w="3241" w:type="dxa"/>
            <w:tcBorders>
              <w:top w:val="single" w:color="auto" w:sz="6" w:space="0"/>
              <w:left w:val="nil"/>
              <w:bottom w:val="single" w:color="000000" w:sz="6" w:space="0"/>
              <w:right w:val="single" w:color="000000" w:sz="6" w:space="0"/>
            </w:tcBorders>
            <w:vAlign w:val="center"/>
          </w:tcPr>
          <w:p w14:paraId="3C236F5F">
            <w:pPr>
              <w:jc w:val="center"/>
              <w:rPr>
                <w:rFonts w:ascii="仿宋_GB2312" w:eastAsia="仿宋_GB2312"/>
                <w:color w:val="auto"/>
                <w:sz w:val="24"/>
                <w:highlight w:val="none"/>
              </w:rPr>
            </w:pPr>
          </w:p>
        </w:tc>
        <w:tc>
          <w:tcPr>
            <w:tcW w:w="3243" w:type="dxa"/>
            <w:tcBorders>
              <w:top w:val="single" w:color="auto" w:sz="6" w:space="0"/>
              <w:left w:val="nil"/>
              <w:bottom w:val="single" w:color="000000" w:sz="6" w:space="0"/>
              <w:right w:val="single" w:color="000000" w:sz="6" w:space="0"/>
            </w:tcBorders>
            <w:vAlign w:val="center"/>
          </w:tcPr>
          <w:p w14:paraId="50E8DD3C">
            <w:pPr>
              <w:jc w:val="center"/>
              <w:rPr>
                <w:rFonts w:ascii="仿宋_GB2312" w:eastAsia="仿宋_GB2312"/>
                <w:color w:val="auto"/>
                <w:sz w:val="24"/>
                <w:highlight w:val="none"/>
              </w:rPr>
            </w:pPr>
          </w:p>
        </w:tc>
        <w:tc>
          <w:tcPr>
            <w:tcW w:w="1127" w:type="dxa"/>
            <w:tcBorders>
              <w:top w:val="single" w:color="auto" w:sz="6" w:space="0"/>
              <w:left w:val="nil"/>
              <w:bottom w:val="single" w:color="000000" w:sz="6" w:space="0"/>
              <w:right w:val="single" w:color="auto" w:sz="4" w:space="0"/>
            </w:tcBorders>
            <w:vAlign w:val="center"/>
          </w:tcPr>
          <w:p w14:paraId="785B6003">
            <w:pPr>
              <w:jc w:val="center"/>
              <w:rPr>
                <w:rFonts w:ascii="仿宋_GB2312" w:eastAsia="仿宋_GB2312"/>
                <w:color w:val="auto"/>
                <w:sz w:val="24"/>
                <w:highlight w:val="none"/>
              </w:rPr>
            </w:pPr>
          </w:p>
        </w:tc>
      </w:tr>
      <w:tr w14:paraId="3F2B5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8" w:hRule="atLeast"/>
          <w:jc w:val="center"/>
        </w:trPr>
        <w:tc>
          <w:tcPr>
            <w:tcW w:w="705" w:type="dxa"/>
            <w:tcBorders>
              <w:top w:val="single" w:color="auto" w:sz="6" w:space="0"/>
              <w:left w:val="single" w:color="000000" w:sz="6" w:space="0"/>
              <w:bottom w:val="single" w:color="000000" w:sz="6" w:space="0"/>
              <w:right w:val="single" w:color="000000" w:sz="6" w:space="0"/>
            </w:tcBorders>
            <w:vAlign w:val="center"/>
          </w:tcPr>
          <w:p w14:paraId="4C56AABA">
            <w:pPr>
              <w:jc w:val="center"/>
              <w:rPr>
                <w:rFonts w:ascii="仿宋_GB2312" w:eastAsia="仿宋_GB2312"/>
                <w:color w:val="auto"/>
                <w:sz w:val="24"/>
                <w:highlight w:val="none"/>
              </w:rPr>
            </w:pPr>
          </w:p>
        </w:tc>
        <w:tc>
          <w:tcPr>
            <w:tcW w:w="3241" w:type="dxa"/>
            <w:tcBorders>
              <w:top w:val="single" w:color="auto" w:sz="6" w:space="0"/>
              <w:left w:val="nil"/>
              <w:bottom w:val="single" w:color="000000" w:sz="6" w:space="0"/>
              <w:right w:val="single" w:color="000000" w:sz="6" w:space="0"/>
            </w:tcBorders>
            <w:vAlign w:val="center"/>
          </w:tcPr>
          <w:p w14:paraId="3A34FAFF">
            <w:pPr>
              <w:jc w:val="center"/>
              <w:rPr>
                <w:rFonts w:ascii="仿宋_GB2312" w:eastAsia="仿宋_GB2312"/>
                <w:color w:val="auto"/>
                <w:sz w:val="24"/>
                <w:highlight w:val="none"/>
              </w:rPr>
            </w:pPr>
          </w:p>
        </w:tc>
        <w:tc>
          <w:tcPr>
            <w:tcW w:w="3243" w:type="dxa"/>
            <w:tcBorders>
              <w:top w:val="single" w:color="auto" w:sz="6" w:space="0"/>
              <w:left w:val="nil"/>
              <w:bottom w:val="single" w:color="000000" w:sz="6" w:space="0"/>
              <w:right w:val="single" w:color="000000" w:sz="6" w:space="0"/>
            </w:tcBorders>
            <w:vAlign w:val="center"/>
          </w:tcPr>
          <w:p w14:paraId="066C5DC7">
            <w:pPr>
              <w:jc w:val="center"/>
              <w:rPr>
                <w:rFonts w:ascii="仿宋_GB2312" w:eastAsia="仿宋_GB2312"/>
                <w:color w:val="auto"/>
                <w:sz w:val="24"/>
                <w:highlight w:val="none"/>
              </w:rPr>
            </w:pPr>
          </w:p>
        </w:tc>
        <w:tc>
          <w:tcPr>
            <w:tcW w:w="1127" w:type="dxa"/>
            <w:tcBorders>
              <w:top w:val="single" w:color="auto" w:sz="6" w:space="0"/>
              <w:left w:val="nil"/>
              <w:bottom w:val="single" w:color="000000" w:sz="6" w:space="0"/>
              <w:right w:val="single" w:color="auto" w:sz="4" w:space="0"/>
            </w:tcBorders>
            <w:vAlign w:val="center"/>
          </w:tcPr>
          <w:p w14:paraId="7633B086">
            <w:pPr>
              <w:jc w:val="center"/>
              <w:rPr>
                <w:rFonts w:ascii="仿宋_GB2312" w:eastAsia="仿宋_GB2312"/>
                <w:color w:val="auto"/>
                <w:sz w:val="24"/>
                <w:highlight w:val="none"/>
              </w:rPr>
            </w:pPr>
          </w:p>
        </w:tc>
      </w:tr>
      <w:tr w14:paraId="72BE68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0" w:hRule="atLeast"/>
          <w:jc w:val="center"/>
        </w:trPr>
        <w:tc>
          <w:tcPr>
            <w:tcW w:w="705" w:type="dxa"/>
            <w:tcBorders>
              <w:top w:val="single" w:color="auto" w:sz="6" w:space="0"/>
              <w:left w:val="single" w:color="000000" w:sz="6" w:space="0"/>
              <w:bottom w:val="single" w:color="auto" w:sz="6" w:space="0"/>
              <w:right w:val="single" w:color="000000" w:sz="6" w:space="0"/>
            </w:tcBorders>
            <w:vAlign w:val="center"/>
          </w:tcPr>
          <w:p w14:paraId="19C7F9CF">
            <w:pPr>
              <w:jc w:val="center"/>
              <w:rPr>
                <w:rFonts w:ascii="仿宋_GB2312" w:eastAsia="仿宋_GB2312"/>
                <w:color w:val="auto"/>
                <w:sz w:val="24"/>
                <w:highlight w:val="none"/>
              </w:rPr>
            </w:pPr>
          </w:p>
        </w:tc>
        <w:tc>
          <w:tcPr>
            <w:tcW w:w="3241" w:type="dxa"/>
            <w:tcBorders>
              <w:top w:val="single" w:color="auto" w:sz="6" w:space="0"/>
              <w:left w:val="nil"/>
              <w:bottom w:val="single" w:color="auto" w:sz="6" w:space="0"/>
              <w:right w:val="single" w:color="000000" w:sz="6" w:space="0"/>
            </w:tcBorders>
            <w:vAlign w:val="center"/>
          </w:tcPr>
          <w:p w14:paraId="6DBD2085">
            <w:pPr>
              <w:jc w:val="center"/>
              <w:rPr>
                <w:rFonts w:ascii="仿宋_GB2312" w:eastAsia="仿宋_GB2312"/>
                <w:color w:val="auto"/>
                <w:sz w:val="24"/>
                <w:highlight w:val="none"/>
              </w:rPr>
            </w:pPr>
          </w:p>
        </w:tc>
        <w:tc>
          <w:tcPr>
            <w:tcW w:w="3243" w:type="dxa"/>
            <w:tcBorders>
              <w:top w:val="single" w:color="auto" w:sz="6" w:space="0"/>
              <w:left w:val="nil"/>
              <w:bottom w:val="single" w:color="auto" w:sz="6" w:space="0"/>
              <w:right w:val="single" w:color="000000" w:sz="6" w:space="0"/>
            </w:tcBorders>
            <w:vAlign w:val="center"/>
          </w:tcPr>
          <w:p w14:paraId="43CCB424">
            <w:pPr>
              <w:jc w:val="center"/>
              <w:rPr>
                <w:rFonts w:ascii="仿宋_GB2312" w:eastAsia="仿宋_GB2312"/>
                <w:color w:val="auto"/>
                <w:sz w:val="24"/>
                <w:highlight w:val="none"/>
              </w:rPr>
            </w:pPr>
          </w:p>
        </w:tc>
        <w:tc>
          <w:tcPr>
            <w:tcW w:w="1127" w:type="dxa"/>
            <w:tcBorders>
              <w:top w:val="single" w:color="auto" w:sz="6" w:space="0"/>
              <w:left w:val="nil"/>
              <w:bottom w:val="single" w:color="auto" w:sz="6" w:space="0"/>
              <w:right w:val="single" w:color="auto" w:sz="4" w:space="0"/>
            </w:tcBorders>
            <w:vAlign w:val="center"/>
          </w:tcPr>
          <w:p w14:paraId="2EC08B10">
            <w:pPr>
              <w:jc w:val="center"/>
              <w:rPr>
                <w:rFonts w:ascii="仿宋_GB2312" w:eastAsia="仿宋_GB2312"/>
                <w:color w:val="auto"/>
                <w:sz w:val="24"/>
                <w:highlight w:val="none"/>
              </w:rPr>
            </w:pPr>
          </w:p>
        </w:tc>
      </w:tr>
      <w:tr w14:paraId="585E4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40" w:hRule="atLeast"/>
          <w:jc w:val="center"/>
        </w:trPr>
        <w:tc>
          <w:tcPr>
            <w:tcW w:w="705" w:type="dxa"/>
            <w:tcBorders>
              <w:top w:val="single" w:color="auto" w:sz="6" w:space="0"/>
              <w:left w:val="single" w:color="000000" w:sz="6" w:space="0"/>
              <w:bottom w:val="single" w:color="auto" w:sz="6" w:space="0"/>
              <w:right w:val="single" w:color="000000" w:sz="6" w:space="0"/>
            </w:tcBorders>
            <w:vAlign w:val="center"/>
          </w:tcPr>
          <w:p w14:paraId="73DFEEAF">
            <w:pPr>
              <w:jc w:val="center"/>
              <w:rPr>
                <w:rFonts w:ascii="仿宋_GB2312" w:eastAsia="仿宋_GB2312"/>
                <w:color w:val="auto"/>
                <w:sz w:val="24"/>
                <w:highlight w:val="none"/>
              </w:rPr>
            </w:pPr>
          </w:p>
        </w:tc>
        <w:tc>
          <w:tcPr>
            <w:tcW w:w="3241" w:type="dxa"/>
            <w:tcBorders>
              <w:top w:val="single" w:color="auto" w:sz="6" w:space="0"/>
              <w:left w:val="nil"/>
              <w:bottom w:val="single" w:color="auto" w:sz="6" w:space="0"/>
              <w:right w:val="single" w:color="000000" w:sz="6" w:space="0"/>
            </w:tcBorders>
            <w:vAlign w:val="center"/>
          </w:tcPr>
          <w:p w14:paraId="4EEFA22B">
            <w:pPr>
              <w:jc w:val="center"/>
              <w:rPr>
                <w:rFonts w:ascii="仿宋_GB2312" w:eastAsia="仿宋_GB2312"/>
                <w:color w:val="auto"/>
                <w:sz w:val="24"/>
                <w:highlight w:val="none"/>
              </w:rPr>
            </w:pPr>
          </w:p>
        </w:tc>
        <w:tc>
          <w:tcPr>
            <w:tcW w:w="3243" w:type="dxa"/>
            <w:tcBorders>
              <w:top w:val="single" w:color="auto" w:sz="6" w:space="0"/>
              <w:left w:val="nil"/>
              <w:bottom w:val="single" w:color="auto" w:sz="6" w:space="0"/>
              <w:right w:val="single" w:color="000000" w:sz="6" w:space="0"/>
            </w:tcBorders>
            <w:vAlign w:val="center"/>
          </w:tcPr>
          <w:p w14:paraId="3CD2972E">
            <w:pPr>
              <w:jc w:val="center"/>
              <w:rPr>
                <w:rFonts w:ascii="仿宋_GB2312" w:eastAsia="仿宋_GB2312"/>
                <w:color w:val="auto"/>
                <w:sz w:val="24"/>
                <w:highlight w:val="none"/>
              </w:rPr>
            </w:pPr>
          </w:p>
        </w:tc>
        <w:tc>
          <w:tcPr>
            <w:tcW w:w="1127" w:type="dxa"/>
            <w:tcBorders>
              <w:top w:val="single" w:color="auto" w:sz="6" w:space="0"/>
              <w:left w:val="nil"/>
              <w:bottom w:val="single" w:color="auto" w:sz="6" w:space="0"/>
              <w:right w:val="single" w:color="auto" w:sz="4" w:space="0"/>
            </w:tcBorders>
            <w:vAlign w:val="center"/>
          </w:tcPr>
          <w:p w14:paraId="534BF91E">
            <w:pPr>
              <w:jc w:val="center"/>
              <w:rPr>
                <w:rFonts w:ascii="仿宋_GB2312" w:eastAsia="仿宋_GB2312"/>
                <w:color w:val="auto"/>
                <w:sz w:val="24"/>
                <w:highlight w:val="none"/>
              </w:rPr>
            </w:pPr>
          </w:p>
        </w:tc>
      </w:tr>
      <w:tr w14:paraId="1767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77" w:hRule="atLeast"/>
          <w:jc w:val="center"/>
        </w:trPr>
        <w:tc>
          <w:tcPr>
            <w:tcW w:w="705" w:type="dxa"/>
            <w:tcBorders>
              <w:top w:val="single" w:color="auto" w:sz="6" w:space="0"/>
              <w:left w:val="single" w:color="000000" w:sz="6" w:space="0"/>
              <w:bottom w:val="single" w:color="auto" w:sz="6" w:space="0"/>
              <w:right w:val="single" w:color="000000" w:sz="6" w:space="0"/>
            </w:tcBorders>
            <w:vAlign w:val="center"/>
          </w:tcPr>
          <w:p w14:paraId="38A9FDAB">
            <w:pPr>
              <w:jc w:val="center"/>
              <w:rPr>
                <w:rFonts w:ascii="仿宋_GB2312" w:eastAsia="仿宋_GB2312"/>
                <w:color w:val="auto"/>
                <w:sz w:val="24"/>
                <w:highlight w:val="none"/>
              </w:rPr>
            </w:pPr>
          </w:p>
        </w:tc>
        <w:tc>
          <w:tcPr>
            <w:tcW w:w="3241" w:type="dxa"/>
            <w:tcBorders>
              <w:top w:val="single" w:color="auto" w:sz="6" w:space="0"/>
              <w:left w:val="nil"/>
              <w:bottom w:val="single" w:color="auto" w:sz="6" w:space="0"/>
              <w:right w:val="single" w:color="000000" w:sz="6" w:space="0"/>
            </w:tcBorders>
            <w:vAlign w:val="center"/>
          </w:tcPr>
          <w:p w14:paraId="6B6F1809">
            <w:pPr>
              <w:jc w:val="center"/>
              <w:rPr>
                <w:rFonts w:ascii="仿宋_GB2312" w:eastAsia="仿宋_GB2312"/>
                <w:color w:val="auto"/>
                <w:sz w:val="24"/>
                <w:highlight w:val="none"/>
              </w:rPr>
            </w:pPr>
          </w:p>
        </w:tc>
        <w:tc>
          <w:tcPr>
            <w:tcW w:w="3243" w:type="dxa"/>
            <w:tcBorders>
              <w:top w:val="single" w:color="auto" w:sz="6" w:space="0"/>
              <w:left w:val="nil"/>
              <w:bottom w:val="single" w:color="auto" w:sz="6" w:space="0"/>
              <w:right w:val="single" w:color="000000" w:sz="6" w:space="0"/>
            </w:tcBorders>
            <w:vAlign w:val="center"/>
          </w:tcPr>
          <w:p w14:paraId="33EA493E">
            <w:pPr>
              <w:jc w:val="center"/>
              <w:rPr>
                <w:rFonts w:ascii="仿宋_GB2312" w:eastAsia="仿宋_GB2312"/>
                <w:color w:val="auto"/>
                <w:sz w:val="24"/>
                <w:highlight w:val="none"/>
              </w:rPr>
            </w:pPr>
          </w:p>
        </w:tc>
        <w:tc>
          <w:tcPr>
            <w:tcW w:w="1127" w:type="dxa"/>
            <w:tcBorders>
              <w:top w:val="single" w:color="auto" w:sz="6" w:space="0"/>
              <w:left w:val="nil"/>
              <w:bottom w:val="single" w:color="auto" w:sz="6" w:space="0"/>
              <w:right w:val="single" w:color="auto" w:sz="4" w:space="0"/>
            </w:tcBorders>
            <w:vAlign w:val="center"/>
          </w:tcPr>
          <w:p w14:paraId="6DC4ACDE">
            <w:pPr>
              <w:jc w:val="center"/>
              <w:rPr>
                <w:rFonts w:ascii="仿宋_GB2312" w:eastAsia="仿宋_GB2312"/>
                <w:color w:val="auto"/>
                <w:sz w:val="24"/>
                <w:highlight w:val="none"/>
              </w:rPr>
            </w:pPr>
          </w:p>
        </w:tc>
      </w:tr>
    </w:tbl>
    <w:p w14:paraId="29B48096">
      <w:pPr>
        <w:adjustRightInd w:val="0"/>
        <w:snapToGrid w:val="0"/>
        <w:jc w:val="left"/>
        <w:outlineLvl w:val="1"/>
        <w:rPr>
          <w:rFonts w:ascii="仿宋_GB2312" w:eastAsia="仿宋_GB2312"/>
          <w:b/>
          <w:bCs/>
          <w:color w:val="auto"/>
          <w:sz w:val="28"/>
          <w:szCs w:val="28"/>
          <w:highlight w:val="none"/>
        </w:rPr>
        <w:sectPr>
          <w:pgSz w:w="11906" w:h="16838"/>
          <w:pgMar w:top="1468" w:right="1803" w:bottom="1113" w:left="1803" w:header="851" w:footer="899" w:gutter="0"/>
          <w:pgBorders>
            <w:top w:val="none" w:sz="0" w:space="0"/>
            <w:left w:val="none" w:sz="0" w:space="0"/>
            <w:bottom w:val="none" w:sz="0" w:space="0"/>
            <w:right w:val="none" w:sz="0" w:space="0"/>
          </w:pgBorders>
          <w:cols w:space="720" w:num="1"/>
          <w:docGrid w:type="linesAndChars" w:linePitch="319" w:charSpace="0"/>
        </w:sectPr>
      </w:pPr>
      <w:bookmarkStart w:id="139" w:name="_Toc4498_WPSOffice_Level1"/>
    </w:p>
    <w:p w14:paraId="728D6A44">
      <w:pPr>
        <w:spacing w:before="159" w:beforeLines="50" w:after="159" w:afterLines="50" w:line="360" w:lineRule="auto"/>
        <w:ind w:right="-21" w:rightChars="-10"/>
        <w:jc w:val="left"/>
        <w:rPr>
          <w:rFonts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附表3</w:t>
      </w:r>
    </w:p>
    <w:p w14:paraId="2B3F1D63">
      <w:pPr>
        <w:spacing w:before="159" w:beforeLines="50" w:after="159" w:afterLines="50" w:line="360" w:lineRule="auto"/>
        <w:ind w:right="-21" w:rightChars="-10"/>
        <w:jc w:val="center"/>
        <w:rPr>
          <w:rFonts w:ascii="方正小标宋简体" w:hAnsi="仿宋_GB2312" w:eastAsia="方正小标宋简体" w:cs="仿宋_GB2312"/>
          <w:color w:val="auto"/>
          <w:sz w:val="32"/>
          <w:szCs w:val="32"/>
          <w:highlight w:val="none"/>
        </w:rPr>
      </w:pPr>
      <w:r>
        <w:rPr>
          <w:rFonts w:hint="eastAsia" w:ascii="方正小标宋简体" w:hAnsi="仿宋_GB2312" w:eastAsia="方正小标宋简体" w:cs="仿宋_GB2312"/>
          <w:color w:val="auto"/>
          <w:sz w:val="32"/>
          <w:szCs w:val="32"/>
          <w:highlight w:val="none"/>
        </w:rPr>
        <w:t>单个项目情况表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5644"/>
      </w:tblGrid>
      <w:tr w14:paraId="7027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tcBorders>
              <w:top w:val="single" w:color="auto" w:sz="4" w:space="0"/>
              <w:left w:val="single" w:color="auto" w:sz="4" w:space="0"/>
              <w:bottom w:val="single" w:color="auto" w:sz="4" w:space="0"/>
              <w:right w:val="single" w:color="auto" w:sz="4" w:space="0"/>
            </w:tcBorders>
            <w:vAlign w:val="center"/>
          </w:tcPr>
          <w:p w14:paraId="12F57C96">
            <w:pPr>
              <w:jc w:val="center"/>
              <w:rPr>
                <w:rFonts w:ascii="仿宋_GB2312" w:eastAsia="仿宋_GB2312"/>
                <w:color w:val="auto"/>
                <w:sz w:val="24"/>
                <w:highlight w:val="none"/>
              </w:rPr>
            </w:pPr>
            <w:r>
              <w:rPr>
                <w:rFonts w:hint="eastAsia" w:ascii="仿宋_GB2312" w:eastAsia="仿宋_GB2312"/>
                <w:color w:val="auto"/>
                <w:sz w:val="24"/>
                <w:highlight w:val="none"/>
              </w:rPr>
              <w:t>项目名称</w:t>
            </w:r>
          </w:p>
        </w:tc>
        <w:tc>
          <w:tcPr>
            <w:tcW w:w="5644" w:type="dxa"/>
            <w:tcBorders>
              <w:top w:val="single" w:color="auto" w:sz="4" w:space="0"/>
              <w:left w:val="single" w:color="auto" w:sz="4" w:space="0"/>
              <w:bottom w:val="single" w:color="auto" w:sz="4" w:space="0"/>
              <w:right w:val="single" w:color="auto" w:sz="4" w:space="0"/>
            </w:tcBorders>
            <w:vAlign w:val="center"/>
          </w:tcPr>
          <w:p w14:paraId="72A98B20">
            <w:pPr>
              <w:jc w:val="center"/>
              <w:rPr>
                <w:rFonts w:ascii="仿宋_GB2312" w:eastAsia="仿宋_GB2312"/>
                <w:color w:val="auto"/>
                <w:sz w:val="24"/>
                <w:highlight w:val="none"/>
              </w:rPr>
            </w:pPr>
          </w:p>
        </w:tc>
      </w:tr>
      <w:tr w14:paraId="41365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tcBorders>
              <w:top w:val="single" w:color="auto" w:sz="4" w:space="0"/>
              <w:left w:val="single" w:color="auto" w:sz="4" w:space="0"/>
              <w:bottom w:val="single" w:color="auto" w:sz="4" w:space="0"/>
              <w:right w:val="single" w:color="auto" w:sz="4" w:space="0"/>
            </w:tcBorders>
            <w:vAlign w:val="center"/>
          </w:tcPr>
          <w:p w14:paraId="792C7522">
            <w:pPr>
              <w:jc w:val="center"/>
              <w:rPr>
                <w:rFonts w:ascii="仿宋_GB2312" w:eastAsia="仿宋_GB2312"/>
                <w:color w:val="auto"/>
                <w:sz w:val="24"/>
                <w:highlight w:val="none"/>
              </w:rPr>
            </w:pPr>
            <w:r>
              <w:rPr>
                <w:rFonts w:hint="eastAsia" w:ascii="仿宋_GB2312" w:eastAsia="仿宋_GB2312"/>
                <w:color w:val="auto"/>
                <w:sz w:val="24"/>
                <w:highlight w:val="none"/>
              </w:rPr>
              <w:t>项目所在地</w:t>
            </w:r>
          </w:p>
        </w:tc>
        <w:tc>
          <w:tcPr>
            <w:tcW w:w="5644" w:type="dxa"/>
            <w:tcBorders>
              <w:top w:val="single" w:color="auto" w:sz="4" w:space="0"/>
              <w:left w:val="single" w:color="auto" w:sz="4" w:space="0"/>
              <w:bottom w:val="single" w:color="auto" w:sz="4" w:space="0"/>
              <w:right w:val="single" w:color="auto" w:sz="4" w:space="0"/>
            </w:tcBorders>
            <w:vAlign w:val="center"/>
          </w:tcPr>
          <w:p w14:paraId="5A7123F5">
            <w:pPr>
              <w:jc w:val="center"/>
              <w:rPr>
                <w:rFonts w:ascii="仿宋_GB2312" w:eastAsia="仿宋_GB2312"/>
                <w:color w:val="auto"/>
                <w:sz w:val="24"/>
                <w:highlight w:val="none"/>
              </w:rPr>
            </w:pPr>
          </w:p>
        </w:tc>
      </w:tr>
      <w:tr w14:paraId="683A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tcBorders>
              <w:top w:val="single" w:color="auto" w:sz="4" w:space="0"/>
              <w:left w:val="single" w:color="auto" w:sz="4" w:space="0"/>
              <w:bottom w:val="single" w:color="auto" w:sz="4" w:space="0"/>
              <w:right w:val="single" w:color="auto" w:sz="4" w:space="0"/>
            </w:tcBorders>
            <w:vAlign w:val="center"/>
          </w:tcPr>
          <w:p w14:paraId="6D095F23">
            <w:pPr>
              <w:jc w:val="center"/>
              <w:rPr>
                <w:rFonts w:ascii="仿宋_GB2312" w:eastAsia="仿宋_GB2312"/>
                <w:color w:val="auto"/>
                <w:sz w:val="24"/>
                <w:highlight w:val="none"/>
              </w:rPr>
            </w:pPr>
            <w:r>
              <w:rPr>
                <w:rFonts w:hint="eastAsia" w:ascii="仿宋_GB2312" w:eastAsia="仿宋_GB2312"/>
                <w:color w:val="auto"/>
                <w:sz w:val="24"/>
                <w:highlight w:val="none"/>
              </w:rPr>
              <w:t>采购人名称</w:t>
            </w:r>
          </w:p>
        </w:tc>
        <w:tc>
          <w:tcPr>
            <w:tcW w:w="5644" w:type="dxa"/>
            <w:tcBorders>
              <w:top w:val="single" w:color="auto" w:sz="4" w:space="0"/>
              <w:left w:val="single" w:color="auto" w:sz="4" w:space="0"/>
              <w:bottom w:val="single" w:color="auto" w:sz="4" w:space="0"/>
              <w:right w:val="single" w:color="auto" w:sz="4" w:space="0"/>
            </w:tcBorders>
            <w:vAlign w:val="center"/>
          </w:tcPr>
          <w:p w14:paraId="4BE4543D">
            <w:pPr>
              <w:jc w:val="center"/>
              <w:rPr>
                <w:rFonts w:ascii="仿宋_GB2312" w:eastAsia="仿宋_GB2312"/>
                <w:color w:val="auto"/>
                <w:sz w:val="24"/>
                <w:highlight w:val="none"/>
              </w:rPr>
            </w:pPr>
          </w:p>
        </w:tc>
      </w:tr>
      <w:tr w14:paraId="770A9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tcBorders>
              <w:top w:val="single" w:color="auto" w:sz="4" w:space="0"/>
              <w:left w:val="single" w:color="auto" w:sz="4" w:space="0"/>
              <w:bottom w:val="single" w:color="auto" w:sz="4" w:space="0"/>
              <w:right w:val="single" w:color="auto" w:sz="4" w:space="0"/>
            </w:tcBorders>
            <w:vAlign w:val="center"/>
          </w:tcPr>
          <w:p w14:paraId="1FB1B024">
            <w:pPr>
              <w:jc w:val="center"/>
              <w:rPr>
                <w:rFonts w:ascii="仿宋_GB2312" w:eastAsia="仿宋_GB2312"/>
                <w:color w:val="auto"/>
                <w:sz w:val="24"/>
                <w:highlight w:val="none"/>
              </w:rPr>
            </w:pPr>
            <w:r>
              <w:rPr>
                <w:rFonts w:hint="eastAsia" w:ascii="仿宋_GB2312" w:eastAsia="仿宋_GB2312"/>
                <w:color w:val="auto"/>
                <w:sz w:val="24"/>
                <w:highlight w:val="none"/>
              </w:rPr>
              <w:t>采购人地址</w:t>
            </w:r>
          </w:p>
        </w:tc>
        <w:tc>
          <w:tcPr>
            <w:tcW w:w="5644" w:type="dxa"/>
            <w:tcBorders>
              <w:top w:val="single" w:color="auto" w:sz="4" w:space="0"/>
              <w:left w:val="single" w:color="auto" w:sz="4" w:space="0"/>
              <w:bottom w:val="single" w:color="auto" w:sz="4" w:space="0"/>
              <w:right w:val="single" w:color="auto" w:sz="4" w:space="0"/>
            </w:tcBorders>
            <w:vAlign w:val="center"/>
          </w:tcPr>
          <w:p w14:paraId="377BA610">
            <w:pPr>
              <w:jc w:val="center"/>
              <w:rPr>
                <w:rFonts w:ascii="仿宋_GB2312" w:eastAsia="仿宋_GB2312"/>
                <w:color w:val="auto"/>
                <w:sz w:val="24"/>
                <w:highlight w:val="none"/>
              </w:rPr>
            </w:pPr>
          </w:p>
        </w:tc>
      </w:tr>
      <w:tr w14:paraId="0A4A8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tcBorders>
              <w:top w:val="single" w:color="auto" w:sz="4" w:space="0"/>
              <w:left w:val="single" w:color="auto" w:sz="4" w:space="0"/>
              <w:bottom w:val="single" w:color="auto" w:sz="4" w:space="0"/>
              <w:right w:val="single" w:color="auto" w:sz="4" w:space="0"/>
            </w:tcBorders>
            <w:vAlign w:val="center"/>
          </w:tcPr>
          <w:p w14:paraId="1DFFCFB2">
            <w:pPr>
              <w:jc w:val="center"/>
              <w:rPr>
                <w:rFonts w:ascii="仿宋_GB2312" w:eastAsia="仿宋_GB2312"/>
                <w:color w:val="auto"/>
                <w:sz w:val="24"/>
                <w:highlight w:val="none"/>
              </w:rPr>
            </w:pPr>
            <w:r>
              <w:rPr>
                <w:rFonts w:hint="eastAsia" w:ascii="仿宋_GB2312" w:eastAsia="仿宋_GB2312"/>
                <w:color w:val="auto"/>
                <w:sz w:val="24"/>
                <w:highlight w:val="none"/>
              </w:rPr>
              <w:t>采购人联系人及电话</w:t>
            </w:r>
          </w:p>
        </w:tc>
        <w:tc>
          <w:tcPr>
            <w:tcW w:w="5644" w:type="dxa"/>
            <w:tcBorders>
              <w:top w:val="single" w:color="auto" w:sz="4" w:space="0"/>
              <w:left w:val="single" w:color="auto" w:sz="4" w:space="0"/>
              <w:bottom w:val="single" w:color="auto" w:sz="4" w:space="0"/>
              <w:right w:val="single" w:color="auto" w:sz="4" w:space="0"/>
            </w:tcBorders>
            <w:vAlign w:val="center"/>
          </w:tcPr>
          <w:p w14:paraId="5728B5FE">
            <w:pPr>
              <w:jc w:val="center"/>
              <w:rPr>
                <w:rFonts w:ascii="仿宋_GB2312" w:eastAsia="仿宋_GB2312"/>
                <w:color w:val="auto"/>
                <w:sz w:val="24"/>
                <w:highlight w:val="none"/>
              </w:rPr>
            </w:pPr>
          </w:p>
        </w:tc>
      </w:tr>
      <w:tr w14:paraId="370C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695" w:type="dxa"/>
            <w:tcBorders>
              <w:top w:val="single" w:color="auto" w:sz="4" w:space="0"/>
              <w:left w:val="single" w:color="auto" w:sz="4" w:space="0"/>
              <w:bottom w:val="single" w:color="auto" w:sz="4" w:space="0"/>
              <w:right w:val="single" w:color="auto" w:sz="4" w:space="0"/>
            </w:tcBorders>
            <w:vAlign w:val="center"/>
          </w:tcPr>
          <w:p w14:paraId="188DDFDA">
            <w:pPr>
              <w:jc w:val="center"/>
              <w:rPr>
                <w:rFonts w:ascii="仿宋_GB2312" w:eastAsia="仿宋_GB2312"/>
                <w:color w:val="auto"/>
                <w:sz w:val="24"/>
                <w:highlight w:val="none"/>
              </w:rPr>
            </w:pPr>
            <w:r>
              <w:rPr>
                <w:rFonts w:hint="eastAsia" w:ascii="仿宋_GB2312" w:eastAsia="仿宋_GB2312"/>
                <w:color w:val="auto"/>
                <w:sz w:val="24"/>
                <w:highlight w:val="none"/>
              </w:rPr>
              <w:t>合同</w:t>
            </w:r>
            <w:r>
              <w:rPr>
                <w:rFonts w:hint="eastAsia" w:ascii="仿宋_GB2312" w:eastAsia="仿宋_GB2312"/>
                <w:color w:val="auto"/>
                <w:sz w:val="24"/>
                <w:highlight w:val="none"/>
                <w:lang w:val="en-US" w:eastAsia="zh-CN"/>
              </w:rPr>
              <w:t>签订</w:t>
            </w:r>
            <w:r>
              <w:rPr>
                <w:rFonts w:hint="eastAsia" w:ascii="仿宋_GB2312" w:eastAsia="仿宋_GB2312"/>
                <w:color w:val="auto"/>
                <w:sz w:val="24"/>
                <w:highlight w:val="none"/>
              </w:rPr>
              <w:t>日期</w:t>
            </w:r>
          </w:p>
        </w:tc>
        <w:tc>
          <w:tcPr>
            <w:tcW w:w="5644" w:type="dxa"/>
            <w:tcBorders>
              <w:top w:val="single" w:color="auto" w:sz="4" w:space="0"/>
              <w:left w:val="single" w:color="auto" w:sz="4" w:space="0"/>
              <w:bottom w:val="single" w:color="auto" w:sz="4" w:space="0"/>
              <w:right w:val="single" w:color="auto" w:sz="4" w:space="0"/>
            </w:tcBorders>
            <w:vAlign w:val="center"/>
          </w:tcPr>
          <w:p w14:paraId="0EBFAB69">
            <w:pPr>
              <w:jc w:val="center"/>
              <w:rPr>
                <w:rFonts w:ascii="仿宋_GB2312" w:eastAsia="仿宋_GB2312"/>
                <w:color w:val="auto"/>
                <w:sz w:val="24"/>
                <w:highlight w:val="none"/>
              </w:rPr>
            </w:pPr>
          </w:p>
        </w:tc>
      </w:tr>
      <w:tr w14:paraId="2007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2695" w:type="dxa"/>
            <w:tcBorders>
              <w:top w:val="single" w:color="auto" w:sz="4" w:space="0"/>
              <w:left w:val="single" w:color="auto" w:sz="4" w:space="0"/>
              <w:bottom w:val="single" w:color="auto" w:sz="4" w:space="0"/>
              <w:right w:val="single" w:color="auto" w:sz="4" w:space="0"/>
            </w:tcBorders>
            <w:vAlign w:val="center"/>
          </w:tcPr>
          <w:p w14:paraId="26757F90">
            <w:pPr>
              <w:jc w:val="center"/>
              <w:rPr>
                <w:rFonts w:ascii="仿宋_GB2312" w:eastAsia="仿宋_GB2312"/>
                <w:color w:val="auto"/>
                <w:sz w:val="24"/>
                <w:highlight w:val="none"/>
              </w:rPr>
            </w:pPr>
            <w:r>
              <w:rPr>
                <w:rFonts w:hint="eastAsia" w:ascii="仿宋_GB2312" w:eastAsia="仿宋_GB2312"/>
                <w:color w:val="auto"/>
                <w:sz w:val="24"/>
                <w:highlight w:val="none"/>
              </w:rPr>
              <w:t>项目描述</w:t>
            </w:r>
          </w:p>
        </w:tc>
        <w:tc>
          <w:tcPr>
            <w:tcW w:w="5644" w:type="dxa"/>
            <w:tcBorders>
              <w:top w:val="single" w:color="auto" w:sz="4" w:space="0"/>
              <w:left w:val="single" w:color="auto" w:sz="4" w:space="0"/>
              <w:bottom w:val="single" w:color="auto" w:sz="4" w:space="0"/>
              <w:right w:val="single" w:color="auto" w:sz="4" w:space="0"/>
            </w:tcBorders>
            <w:vAlign w:val="center"/>
          </w:tcPr>
          <w:p w14:paraId="7F7797D0">
            <w:pPr>
              <w:jc w:val="center"/>
              <w:rPr>
                <w:rFonts w:ascii="仿宋_GB2312" w:eastAsia="仿宋_GB2312"/>
                <w:color w:val="auto"/>
                <w:sz w:val="24"/>
                <w:highlight w:val="none"/>
              </w:rPr>
            </w:pPr>
          </w:p>
        </w:tc>
      </w:tr>
      <w:tr w14:paraId="7588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695" w:type="dxa"/>
            <w:tcBorders>
              <w:top w:val="single" w:color="auto" w:sz="4" w:space="0"/>
              <w:left w:val="single" w:color="auto" w:sz="4" w:space="0"/>
              <w:bottom w:val="single" w:color="auto" w:sz="4" w:space="0"/>
              <w:right w:val="single" w:color="auto" w:sz="4" w:space="0"/>
            </w:tcBorders>
            <w:vAlign w:val="center"/>
          </w:tcPr>
          <w:p w14:paraId="6217BC09">
            <w:pPr>
              <w:jc w:val="center"/>
              <w:rPr>
                <w:rFonts w:ascii="仿宋_GB2312" w:eastAsia="仿宋_GB2312"/>
                <w:color w:val="auto"/>
                <w:sz w:val="24"/>
                <w:highlight w:val="none"/>
              </w:rPr>
            </w:pPr>
            <w:r>
              <w:rPr>
                <w:rFonts w:hint="eastAsia" w:ascii="仿宋_GB2312" w:eastAsia="仿宋_GB2312"/>
                <w:color w:val="auto"/>
                <w:sz w:val="24"/>
                <w:highlight w:val="none"/>
              </w:rPr>
              <w:t>备注</w:t>
            </w:r>
          </w:p>
        </w:tc>
        <w:tc>
          <w:tcPr>
            <w:tcW w:w="5644" w:type="dxa"/>
            <w:tcBorders>
              <w:top w:val="single" w:color="auto" w:sz="4" w:space="0"/>
              <w:left w:val="single" w:color="auto" w:sz="4" w:space="0"/>
              <w:bottom w:val="single" w:color="auto" w:sz="4" w:space="0"/>
              <w:right w:val="single" w:color="auto" w:sz="4" w:space="0"/>
            </w:tcBorders>
            <w:vAlign w:val="center"/>
          </w:tcPr>
          <w:p w14:paraId="39F84535">
            <w:pPr>
              <w:jc w:val="center"/>
              <w:rPr>
                <w:rFonts w:ascii="仿宋_GB2312" w:eastAsia="仿宋_GB2312"/>
                <w:color w:val="auto"/>
                <w:sz w:val="24"/>
                <w:highlight w:val="none"/>
              </w:rPr>
            </w:pPr>
          </w:p>
        </w:tc>
      </w:tr>
    </w:tbl>
    <w:p w14:paraId="2E7B837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eastAsia="仿宋_GB2312"/>
          <w:b/>
          <w:bCs/>
          <w:color w:val="auto"/>
          <w:sz w:val="24"/>
          <w:highlight w:val="none"/>
        </w:rPr>
      </w:pPr>
      <w:r>
        <w:rPr>
          <w:rFonts w:hint="eastAsia" w:ascii="仿宋_GB2312" w:eastAsia="仿宋_GB2312"/>
          <w:b/>
          <w:bCs/>
          <w:color w:val="auto"/>
          <w:sz w:val="24"/>
          <w:highlight w:val="none"/>
        </w:rPr>
        <w:t>注:1.参照本项目《评标方法》对类似业绩的相关要求提供相应证明材料加</w:t>
      </w:r>
      <w:r>
        <w:rPr>
          <w:rFonts w:hint="eastAsia" w:ascii="仿宋_GB2312" w:eastAsia="仿宋_GB2312"/>
          <w:b/>
          <w:bCs/>
          <w:color w:val="auto"/>
          <w:sz w:val="24"/>
          <w:highlight w:val="none"/>
          <w:lang w:val="en-US" w:eastAsia="zh-CN"/>
        </w:rPr>
        <w:t>盖</w:t>
      </w:r>
      <w:r>
        <w:rPr>
          <w:rFonts w:hint="eastAsia" w:ascii="仿宋_GB2312" w:eastAsia="仿宋_GB2312"/>
          <w:b/>
          <w:bCs/>
          <w:color w:val="auto"/>
          <w:sz w:val="24"/>
          <w:highlight w:val="none"/>
        </w:rPr>
        <w:t>投标人公章;</w:t>
      </w:r>
    </w:p>
    <w:p w14:paraId="72B05034">
      <w:pPr>
        <w:keepNext w:val="0"/>
        <w:keepLines w:val="0"/>
        <w:pageBreakBefore w:val="0"/>
        <w:widowControl/>
        <w:kinsoku/>
        <w:wordWrap/>
        <w:overflowPunct/>
        <w:topLinePunct w:val="0"/>
        <w:autoSpaceDE/>
        <w:autoSpaceDN/>
        <w:bidi w:val="0"/>
        <w:adjustRightInd/>
        <w:snapToGrid/>
        <w:spacing w:before="161" w:beforeLines="50"/>
        <w:jc w:val="left"/>
        <w:textAlignment w:val="auto"/>
        <w:rPr>
          <w:color w:val="auto"/>
          <w:highlight w:val="none"/>
        </w:rPr>
      </w:pPr>
      <w:r>
        <w:rPr>
          <w:rFonts w:hint="eastAsia" w:ascii="仿宋_GB2312" w:eastAsia="仿宋_GB2312"/>
          <w:b/>
          <w:bCs/>
          <w:color w:val="auto"/>
          <w:sz w:val="24"/>
          <w:highlight w:val="none"/>
        </w:rPr>
        <w:t>2.每张表格只填写一个项目，并标明序号。</w:t>
      </w:r>
    </w:p>
    <w:p w14:paraId="333B231D">
      <w:pPr>
        <w:pStyle w:val="24"/>
        <w:rPr>
          <w:color w:val="auto"/>
          <w:highlight w:val="none"/>
        </w:rPr>
      </w:pPr>
    </w:p>
    <w:p w14:paraId="7223A73D">
      <w:pPr>
        <w:pStyle w:val="24"/>
        <w:rPr>
          <w:color w:val="auto"/>
          <w:highlight w:val="none"/>
        </w:rPr>
      </w:pPr>
    </w:p>
    <w:p w14:paraId="4180CF21">
      <w:pPr>
        <w:pStyle w:val="24"/>
        <w:rPr>
          <w:color w:val="auto"/>
          <w:highlight w:val="none"/>
        </w:rPr>
        <w:sectPr>
          <w:pgSz w:w="11906" w:h="16838"/>
          <w:pgMar w:top="1468" w:right="1803" w:bottom="1167" w:left="1803" w:header="851" w:footer="899" w:gutter="0"/>
          <w:pgBorders>
            <w:top w:val="none" w:sz="0" w:space="0"/>
            <w:left w:val="none" w:sz="0" w:space="0"/>
            <w:bottom w:val="none" w:sz="0" w:space="0"/>
            <w:right w:val="none" w:sz="0" w:space="0"/>
          </w:pgBorders>
          <w:cols w:space="720" w:num="1"/>
          <w:docGrid w:type="linesAndChars" w:linePitch="319" w:charSpace="0"/>
        </w:sectPr>
      </w:pPr>
    </w:p>
    <w:bookmarkEnd w:id="139"/>
    <w:p w14:paraId="325677A6">
      <w:pPr>
        <w:spacing w:before="319" w:beforeLines="100" w:after="319" w:afterLines="100" w:line="360" w:lineRule="auto"/>
        <w:ind w:right="-21" w:rightChars="-10"/>
        <w:jc w:val="center"/>
        <w:outlineLvl w:val="0"/>
        <w:rPr>
          <w:rFonts w:ascii="方正小标宋简体" w:hAnsi="仿宋" w:eastAsia="方正小标宋简体" w:cs="仿宋_GB2312"/>
          <w:b w:val="0"/>
          <w:bCs/>
          <w:color w:val="auto"/>
          <w:kern w:val="44"/>
          <w:sz w:val="44"/>
          <w:highlight w:val="none"/>
        </w:rPr>
      </w:pPr>
      <w:bookmarkStart w:id="140" w:name="_Toc32093"/>
      <w:bookmarkStart w:id="141" w:name="_Toc111013454"/>
      <w:bookmarkStart w:id="142" w:name="_Toc2821_WPSOffice_Level1"/>
      <w:r>
        <w:rPr>
          <w:rFonts w:hint="eastAsia" w:ascii="方正小标宋简体" w:hAnsi="仿宋" w:eastAsia="方正小标宋简体" w:cs="仿宋_GB2312"/>
          <w:b w:val="0"/>
          <w:bCs/>
          <w:color w:val="auto"/>
          <w:kern w:val="44"/>
          <w:sz w:val="44"/>
          <w:highlight w:val="none"/>
        </w:rPr>
        <w:t>第三章 货物需求</w:t>
      </w:r>
      <w:bookmarkEnd w:id="140"/>
    </w:p>
    <w:p w14:paraId="3A268E22">
      <w:pPr>
        <w:snapToGrid w:val="0"/>
        <w:spacing w:beforeLines="100" w:afterLines="10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详见本项目</w:t>
      </w:r>
      <w:r>
        <w:rPr>
          <w:rFonts w:hint="eastAsia" w:ascii="仿宋_GB2312" w:hAnsi="仿宋_GB2312" w:eastAsia="仿宋_GB2312" w:cs="仿宋_GB2312"/>
          <w:color w:val="auto"/>
          <w:sz w:val="24"/>
          <w:szCs w:val="24"/>
          <w:highlight w:val="none"/>
          <w:lang w:val="en-US" w:eastAsia="zh-CN"/>
        </w:rPr>
        <w:t>招标</w:t>
      </w:r>
      <w:r>
        <w:rPr>
          <w:rFonts w:hint="eastAsia" w:ascii="仿宋_GB2312" w:hAnsi="仿宋_GB2312" w:eastAsia="仿宋_GB2312" w:cs="仿宋_GB2312"/>
          <w:color w:val="auto"/>
          <w:sz w:val="24"/>
          <w:szCs w:val="24"/>
          <w:highlight w:val="none"/>
        </w:rPr>
        <w:t>文件第二章 格式13</w:t>
      </w:r>
      <w:r>
        <w:rPr>
          <w:rFonts w:hint="eastAsia" w:ascii="仿宋_GB2312" w:hAnsi="仿宋_GB2312" w:eastAsia="仿宋_GB2312" w:cs="仿宋_GB2312"/>
          <w:color w:val="auto"/>
          <w:sz w:val="24"/>
          <w:szCs w:val="24"/>
          <w:highlight w:val="none"/>
          <w:lang w:val="en-US" w:eastAsia="zh-CN"/>
        </w:rPr>
        <w:t>技术规格偏离</w:t>
      </w:r>
      <w:r>
        <w:rPr>
          <w:rFonts w:hint="eastAsia" w:ascii="仿宋_GB2312" w:hAnsi="仿宋_GB2312" w:eastAsia="仿宋_GB2312" w:cs="仿宋_GB2312"/>
          <w:color w:val="auto"/>
          <w:sz w:val="24"/>
          <w:szCs w:val="24"/>
          <w:highlight w:val="none"/>
        </w:rPr>
        <w:t>表、格式14商务条款偏离表</w:t>
      </w:r>
      <w:r>
        <w:rPr>
          <w:rFonts w:hint="eastAsia" w:ascii="仿宋_GB2312" w:hAnsi="仿宋_GB2312" w:eastAsia="仿宋_GB2312" w:cs="仿宋_GB2312"/>
          <w:color w:val="auto"/>
          <w:sz w:val="24"/>
          <w:szCs w:val="24"/>
          <w:highlight w:val="none"/>
          <w:lang w:eastAsia="zh-CN"/>
        </w:rPr>
        <w:t>。</w:t>
      </w:r>
    </w:p>
    <w:p w14:paraId="74E158E5">
      <w:pPr>
        <w:jc w:val="center"/>
        <w:outlineLvl w:val="0"/>
        <w:rPr>
          <w:b w:val="0"/>
          <w:bCs w:val="0"/>
          <w:color w:val="auto"/>
          <w:highlight w:val="none"/>
        </w:rPr>
      </w:pPr>
      <w:r>
        <w:rPr>
          <w:rFonts w:hint="eastAsia" w:ascii="仿宋_GB2312" w:hAnsi="仿宋" w:eastAsia="仿宋_GB2312" w:cs="仿宋_GB2312"/>
          <w:color w:val="auto"/>
          <w:szCs w:val="21"/>
          <w:highlight w:val="none"/>
        </w:rPr>
        <w:br w:type="page"/>
      </w:r>
      <w:bookmarkStart w:id="143" w:name="_Toc18523"/>
      <w:r>
        <w:rPr>
          <w:rFonts w:hint="eastAsia" w:ascii="方正小标宋简体" w:hAnsi="仿宋" w:eastAsia="方正小标宋简体" w:cs="仿宋_GB2312"/>
          <w:b w:val="0"/>
          <w:bCs w:val="0"/>
          <w:color w:val="auto"/>
          <w:sz w:val="44"/>
          <w:szCs w:val="44"/>
          <w:highlight w:val="none"/>
        </w:rPr>
        <w:t>第四章 评标方法</w:t>
      </w:r>
      <w:bookmarkEnd w:id="141"/>
      <w:bookmarkEnd w:id="142"/>
      <w:bookmarkEnd w:id="143"/>
    </w:p>
    <w:p w14:paraId="7016F0A0">
      <w:pPr>
        <w:adjustRightInd w:val="0"/>
        <w:snapToGrid w:val="0"/>
        <w:spacing w:line="440" w:lineRule="exact"/>
        <w:ind w:firstLine="480" w:firstLineChars="200"/>
        <w:rPr>
          <w:rFonts w:ascii="仿宋_GB2312" w:hAnsi="仿宋" w:eastAsia="仿宋_GB2312" w:cs="仿宋_GB2312"/>
          <w:b/>
          <w:color w:val="auto"/>
          <w:kern w:val="0"/>
          <w:sz w:val="24"/>
          <w:highlight w:val="none"/>
        </w:rPr>
      </w:pPr>
      <w:r>
        <w:rPr>
          <w:rFonts w:hint="eastAsia" w:ascii="仿宋_GB2312" w:hAnsi="仿宋" w:eastAsia="仿宋_GB2312" w:cs="仿宋_GB2312"/>
          <w:bCs/>
          <w:color w:val="auto"/>
          <w:kern w:val="0"/>
          <w:sz w:val="24"/>
          <w:highlight w:val="none"/>
        </w:rPr>
        <w:t>本项目将按照招标文件第一章投标人须知中“六 开标及评标”、“七 确定中标”及本章的规定评标。</w:t>
      </w:r>
    </w:p>
    <w:p w14:paraId="640AC848">
      <w:pPr>
        <w:adjustRightInd w:val="0"/>
        <w:snapToGrid w:val="0"/>
        <w:spacing w:line="440" w:lineRule="exact"/>
        <w:ind w:firstLine="480" w:firstLineChars="200"/>
        <w:rPr>
          <w:rFonts w:ascii="仿宋_GB2312" w:hAnsi="仿宋" w:eastAsia="仿宋_GB2312" w:cs="仿宋_GB2312"/>
          <w:b/>
          <w:color w:val="auto"/>
          <w:kern w:val="0"/>
          <w:sz w:val="24"/>
          <w:highlight w:val="none"/>
        </w:rPr>
      </w:pPr>
      <w:bookmarkStart w:id="144" w:name="_Toc22313_WPSOffice_Level2"/>
      <w:r>
        <w:rPr>
          <w:rFonts w:hint="eastAsia" w:ascii="仿宋_GB2312" w:hAnsi="仿宋" w:eastAsia="仿宋_GB2312" w:cs="仿宋_GB2312"/>
          <w:b/>
          <w:color w:val="auto"/>
          <w:kern w:val="0"/>
          <w:sz w:val="24"/>
          <w:highlight w:val="none"/>
        </w:rPr>
        <w:t>一、评标方法</w:t>
      </w:r>
      <w:bookmarkEnd w:id="144"/>
    </w:p>
    <w:p w14:paraId="5AB186E6">
      <w:pPr>
        <w:adjustRightInd w:val="0"/>
        <w:snapToGrid w:val="0"/>
        <w:spacing w:line="440" w:lineRule="exact"/>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本项目采用</w:t>
      </w:r>
      <w:r>
        <w:rPr>
          <w:rFonts w:hint="eastAsia" w:ascii="仿宋_GB2312" w:hAnsi="仿宋" w:eastAsia="仿宋_GB2312" w:cs="仿宋_GB2312"/>
          <w:color w:val="auto"/>
          <w:kern w:val="0"/>
          <w:sz w:val="24"/>
          <w:highlight w:val="none"/>
          <w:u w:val="single"/>
        </w:rPr>
        <w:t>综合评分法</w:t>
      </w:r>
      <w:r>
        <w:rPr>
          <w:rFonts w:hint="eastAsia" w:ascii="仿宋_GB2312" w:hAnsi="仿宋" w:eastAsia="仿宋_GB2312" w:cs="仿宋_GB2312"/>
          <w:color w:val="auto"/>
          <w:kern w:val="0"/>
          <w:sz w:val="24"/>
          <w:highlight w:val="none"/>
        </w:rPr>
        <w:t>进行评标。</w:t>
      </w:r>
    </w:p>
    <w:p w14:paraId="12CA3FA6">
      <w:pPr>
        <w:adjustRightInd w:val="0"/>
        <w:snapToGrid w:val="0"/>
        <w:spacing w:line="440" w:lineRule="exact"/>
        <w:ind w:firstLine="480" w:firstLineChars="200"/>
        <w:textAlignment w:val="baseline"/>
        <w:rPr>
          <w:rFonts w:ascii="仿宋_GB2312" w:hAnsi="仿宋" w:eastAsia="仿宋_GB2312" w:cs="仿宋_GB2312"/>
          <w:b/>
          <w:color w:val="auto"/>
          <w:kern w:val="0"/>
          <w:sz w:val="24"/>
          <w:highlight w:val="none"/>
        </w:rPr>
      </w:pPr>
      <w:bookmarkStart w:id="145" w:name="_Toc21368_WPSOffice_Level2"/>
      <w:r>
        <w:rPr>
          <w:rFonts w:hint="eastAsia" w:ascii="仿宋_GB2312" w:hAnsi="仿宋" w:eastAsia="仿宋_GB2312" w:cs="仿宋_GB2312"/>
          <w:b/>
          <w:color w:val="auto"/>
          <w:kern w:val="0"/>
          <w:sz w:val="24"/>
          <w:highlight w:val="none"/>
        </w:rPr>
        <w:t>二、评标原则及程序</w:t>
      </w:r>
      <w:bookmarkEnd w:id="145"/>
    </w:p>
    <w:p w14:paraId="6DF58D07">
      <w:pPr>
        <w:adjustRightInd w:val="0"/>
        <w:snapToGrid w:val="0"/>
        <w:spacing w:line="440" w:lineRule="exact"/>
        <w:ind w:firstLine="480" w:firstLineChars="200"/>
        <w:textAlignment w:val="baseline"/>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（一）评标原则</w:t>
      </w:r>
    </w:p>
    <w:p w14:paraId="3A39AEA1">
      <w:pPr>
        <w:adjustRightInd w:val="0"/>
        <w:snapToGrid w:val="0"/>
        <w:spacing w:line="440" w:lineRule="exact"/>
        <w:ind w:firstLine="480" w:firstLineChars="200"/>
        <w:textAlignment w:val="baseline"/>
        <w:rPr>
          <w:rFonts w:ascii="仿宋_GB2312" w:hAnsi="仿宋" w:eastAsia="仿宋_GB2312" w:cs="仿宋_GB2312"/>
          <w:b/>
          <w:color w:val="auto"/>
          <w:kern w:val="0"/>
          <w:sz w:val="24"/>
          <w:highlight w:val="none"/>
        </w:rPr>
      </w:pPr>
      <w:r>
        <w:rPr>
          <w:rFonts w:hint="eastAsia" w:ascii="仿宋_GB2312" w:hAnsi="仿宋" w:eastAsia="仿宋_GB2312" w:cs="仿宋_GB2312"/>
          <w:color w:val="auto"/>
          <w:kern w:val="0"/>
          <w:sz w:val="24"/>
          <w:highlight w:val="none"/>
        </w:rPr>
        <w:t>评标委员会应当按照客观、公正、审慎的原则，根据采购文件规定的评审程序、评审方法和评审标准进行独立评审。采购文件内容违反国家有关强制性规定的，评标委员会应当停止评审并向采购人或者采购组织机构说明情况。</w:t>
      </w:r>
    </w:p>
    <w:p w14:paraId="251670CD">
      <w:pPr>
        <w:adjustRightInd w:val="0"/>
        <w:snapToGrid w:val="0"/>
        <w:spacing w:line="440" w:lineRule="exact"/>
        <w:ind w:firstLine="480" w:firstLineChars="200"/>
        <w:textAlignment w:val="baseline"/>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（二）评标程序</w:t>
      </w:r>
    </w:p>
    <w:p w14:paraId="71ADFBAA">
      <w:pPr>
        <w:adjustRightInd w:val="0"/>
        <w:snapToGrid w:val="0"/>
        <w:spacing w:line="440" w:lineRule="exact"/>
        <w:ind w:firstLine="240" w:firstLineChars="100"/>
        <w:textAlignment w:val="baseline"/>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★1.资格性审查</w:t>
      </w:r>
    </w:p>
    <w:p w14:paraId="22CF49C3">
      <w:pPr>
        <w:adjustRightInd w:val="0"/>
        <w:snapToGrid w:val="0"/>
        <w:spacing w:line="440" w:lineRule="exact"/>
        <w:ind w:firstLine="480" w:firstLineChars="200"/>
        <w:textAlignment w:val="baseline"/>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1.1详见投标人须知22条。资格审查表详见本章附件1。</w:t>
      </w:r>
    </w:p>
    <w:p w14:paraId="3DAFD3EB">
      <w:pPr>
        <w:adjustRightInd w:val="0"/>
        <w:snapToGrid w:val="0"/>
        <w:spacing w:line="440" w:lineRule="exact"/>
        <w:ind w:firstLine="240" w:firstLineChars="100"/>
        <w:rPr>
          <w:rFonts w:ascii="仿宋_GB2312" w:hAnsi="仿宋" w:eastAsia="仿宋_GB2312" w:cs="仿宋_GB2312"/>
          <w:b/>
          <w:bCs/>
          <w:color w:val="auto"/>
          <w:kern w:val="0"/>
          <w:sz w:val="24"/>
          <w:highlight w:val="none"/>
        </w:rPr>
      </w:pPr>
      <w:r>
        <w:rPr>
          <w:rFonts w:hint="eastAsia" w:ascii="仿宋_GB2312" w:hAnsi="仿宋" w:eastAsia="仿宋_GB2312" w:cs="仿宋_GB2312"/>
          <w:b/>
          <w:color w:val="auto"/>
          <w:kern w:val="0"/>
          <w:sz w:val="24"/>
          <w:highlight w:val="none"/>
        </w:rPr>
        <w:t>★</w:t>
      </w:r>
      <w:r>
        <w:rPr>
          <w:rFonts w:hint="eastAsia" w:ascii="仿宋_GB2312" w:hAnsi="仿宋" w:eastAsia="仿宋_GB2312" w:cs="仿宋_GB2312"/>
          <w:b/>
          <w:bCs/>
          <w:color w:val="auto"/>
          <w:kern w:val="0"/>
          <w:sz w:val="24"/>
          <w:highlight w:val="none"/>
        </w:rPr>
        <w:t>2.符合性审查</w:t>
      </w:r>
    </w:p>
    <w:p w14:paraId="3F66EF56">
      <w:pPr>
        <w:adjustRightInd w:val="0"/>
        <w:snapToGrid w:val="0"/>
        <w:spacing w:line="440" w:lineRule="exact"/>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2.1详见投标人须知23条。符合性审查表详见本章附件2。</w:t>
      </w:r>
    </w:p>
    <w:p w14:paraId="53297A78">
      <w:pPr>
        <w:adjustRightInd w:val="0"/>
        <w:snapToGrid w:val="0"/>
        <w:spacing w:line="440" w:lineRule="exact"/>
        <w:ind w:firstLine="480" w:firstLineChars="200"/>
        <w:rPr>
          <w:rFonts w:hint="eastAsia" w:ascii="仿宋_GB2312" w:hAnsi="仿宋" w:eastAsia="仿宋_GB2312" w:cs="仿宋_GB2312"/>
          <w:b/>
          <w:color w:val="auto"/>
          <w:kern w:val="0"/>
          <w:sz w:val="24"/>
          <w:highlight w:val="none"/>
          <w:lang w:eastAsia="zh-CN"/>
        </w:rPr>
      </w:pPr>
      <w:r>
        <w:rPr>
          <w:rFonts w:hint="eastAsia" w:ascii="仿宋_GB2312" w:hAnsi="仿宋" w:eastAsia="仿宋_GB2312" w:cs="仿宋_GB2312"/>
          <w:b/>
          <w:color w:val="auto"/>
          <w:kern w:val="0"/>
          <w:sz w:val="24"/>
          <w:highlight w:val="none"/>
        </w:rPr>
        <w:t>3.样品及演示</w:t>
      </w:r>
      <w:r>
        <w:rPr>
          <w:rFonts w:hint="eastAsia" w:ascii="仿宋_GB2312" w:hAnsi="仿宋" w:eastAsia="仿宋_GB2312" w:cs="仿宋_GB2312"/>
          <w:b/>
          <w:color w:val="auto"/>
          <w:kern w:val="0"/>
          <w:sz w:val="24"/>
          <w:highlight w:val="none"/>
          <w:lang w:eastAsia="zh-CN"/>
        </w:rPr>
        <w:t>（</w:t>
      </w:r>
      <w:r>
        <w:rPr>
          <w:rFonts w:hint="eastAsia" w:ascii="仿宋_GB2312" w:hAnsi="仿宋" w:eastAsia="仿宋_GB2312" w:cs="仿宋_GB2312"/>
          <w:b/>
          <w:color w:val="auto"/>
          <w:kern w:val="0"/>
          <w:sz w:val="24"/>
          <w:highlight w:val="none"/>
          <w:lang w:val="en-US" w:eastAsia="zh-CN"/>
        </w:rPr>
        <w:t>本项目不适用</w:t>
      </w:r>
      <w:r>
        <w:rPr>
          <w:rFonts w:hint="eastAsia" w:ascii="仿宋_GB2312" w:hAnsi="仿宋" w:eastAsia="仿宋_GB2312" w:cs="仿宋_GB2312"/>
          <w:b/>
          <w:color w:val="auto"/>
          <w:kern w:val="0"/>
          <w:sz w:val="24"/>
          <w:highlight w:val="none"/>
          <w:lang w:eastAsia="zh-CN"/>
        </w:rPr>
        <w:t>）</w:t>
      </w:r>
    </w:p>
    <w:p w14:paraId="1EEABB4A">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3.1</w:t>
      </w:r>
      <w:r>
        <w:rPr>
          <w:rFonts w:hint="eastAsia" w:ascii="仿宋_GB2312" w:hAnsi="仿宋" w:eastAsia="仿宋_GB2312" w:cs="仿宋_GB2312"/>
          <w:color w:val="auto"/>
          <w:kern w:val="0"/>
          <w:sz w:val="24"/>
          <w:highlight w:val="none"/>
        </w:rPr>
        <w:t>投标人须知表11.3条</w:t>
      </w:r>
      <w:r>
        <w:rPr>
          <w:rFonts w:hint="eastAsia" w:ascii="仿宋_GB2312" w:hAnsi="仿宋" w:eastAsia="仿宋_GB2312" w:cs="仿宋_GB2312"/>
          <w:color w:val="auto"/>
          <w:sz w:val="24"/>
          <w:highlight w:val="none"/>
        </w:rPr>
        <w:t>中要求投标人提供样品或演示的，按照</w:t>
      </w:r>
      <w:r>
        <w:rPr>
          <w:rFonts w:hint="eastAsia" w:ascii="仿宋_GB2312" w:hAnsi="仿宋" w:eastAsia="仿宋_GB2312" w:cs="仿宋_GB2312"/>
          <w:color w:val="auto"/>
          <w:kern w:val="0"/>
          <w:sz w:val="24"/>
          <w:highlight w:val="none"/>
        </w:rPr>
        <w:t>投标人须知表25.1条</w:t>
      </w:r>
      <w:r>
        <w:rPr>
          <w:rFonts w:hint="eastAsia" w:ascii="仿宋_GB2312" w:hAnsi="仿宋" w:eastAsia="仿宋_GB2312" w:cs="仿宋_GB2312"/>
          <w:color w:val="auto"/>
          <w:sz w:val="24"/>
          <w:highlight w:val="none"/>
        </w:rPr>
        <w:t>中确定的评审方法以及评审标准进行评审。(样品或演示属于符合性审查的，按照</w:t>
      </w:r>
      <w:r>
        <w:rPr>
          <w:rFonts w:hint="eastAsia" w:ascii="仿宋_GB2312" w:hAnsi="仿宋" w:eastAsia="仿宋_GB2312" w:cs="仿宋_GB2312"/>
          <w:color w:val="auto"/>
          <w:kern w:val="0"/>
          <w:sz w:val="24"/>
          <w:highlight w:val="none"/>
        </w:rPr>
        <w:t>投标人须知23条</w:t>
      </w:r>
      <w:r>
        <w:rPr>
          <w:rFonts w:hint="eastAsia" w:ascii="仿宋_GB2312" w:hAnsi="仿宋" w:eastAsia="仿宋_GB2312" w:cs="仿宋_GB2312"/>
          <w:color w:val="auto"/>
          <w:sz w:val="24"/>
          <w:highlight w:val="none"/>
        </w:rPr>
        <w:t>规定执行）</w:t>
      </w:r>
    </w:p>
    <w:p w14:paraId="18ADBD17">
      <w:pPr>
        <w:adjustRightInd w:val="0"/>
        <w:snapToGrid w:val="0"/>
        <w:spacing w:line="440" w:lineRule="exact"/>
        <w:ind w:firstLine="240" w:firstLineChars="100"/>
        <w:rPr>
          <w:rFonts w:ascii="仿宋_GB2312" w:hAnsi="仿宋" w:eastAsia="仿宋_GB2312" w:cs="仿宋_GB2312"/>
          <w:b/>
          <w:bCs/>
          <w:color w:val="auto"/>
          <w:kern w:val="0"/>
          <w:sz w:val="24"/>
          <w:highlight w:val="none"/>
        </w:rPr>
      </w:pPr>
      <w:r>
        <w:rPr>
          <w:rFonts w:hint="eastAsia" w:ascii="仿宋_GB2312" w:hAnsi="仿宋" w:eastAsia="仿宋_GB2312" w:cs="仿宋_GB2312"/>
          <w:b/>
          <w:color w:val="auto"/>
          <w:kern w:val="0"/>
          <w:sz w:val="24"/>
          <w:highlight w:val="none"/>
        </w:rPr>
        <w:t>★4</w:t>
      </w:r>
      <w:r>
        <w:rPr>
          <w:rFonts w:hint="eastAsia" w:ascii="仿宋_GB2312" w:hAnsi="仿宋" w:eastAsia="仿宋_GB2312" w:cs="仿宋_GB2312"/>
          <w:b/>
          <w:bCs/>
          <w:color w:val="auto"/>
          <w:kern w:val="0"/>
          <w:sz w:val="24"/>
          <w:highlight w:val="none"/>
        </w:rPr>
        <w:t>.同一品牌产品</w:t>
      </w:r>
    </w:p>
    <w:p w14:paraId="3873F0B3">
      <w:pPr>
        <w:adjustRightInd w:val="0"/>
        <w:snapToGrid w:val="0"/>
        <w:spacing w:line="440" w:lineRule="exact"/>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4.1通过资格审查、符合性审查的不同品牌投标人不足3家的，按照</w:t>
      </w:r>
      <w:r>
        <w:rPr>
          <w:rFonts w:hint="eastAsia" w:ascii="仿宋_GB2312" w:hAnsi="仿宋" w:eastAsia="仿宋_GB2312" w:cs="仿宋_GB2312"/>
          <w:color w:val="auto"/>
          <w:kern w:val="0"/>
          <w:sz w:val="24"/>
          <w:highlight w:val="none"/>
        </w:rPr>
        <w:t>投标人须知28条第（1）款</w:t>
      </w:r>
      <w:r>
        <w:rPr>
          <w:rFonts w:hint="eastAsia" w:ascii="仿宋_GB2312" w:hAnsi="仿宋" w:eastAsia="仿宋_GB2312" w:cs="仿宋_GB2312"/>
          <w:color w:val="auto"/>
          <w:sz w:val="24"/>
          <w:highlight w:val="none"/>
        </w:rPr>
        <w:t>执行</w:t>
      </w:r>
      <w:r>
        <w:rPr>
          <w:rFonts w:hint="eastAsia" w:ascii="仿宋_GB2312" w:hAnsi="仿宋" w:eastAsia="仿宋_GB2312" w:cs="仿宋_GB2312"/>
          <w:color w:val="auto"/>
          <w:kern w:val="0"/>
          <w:sz w:val="24"/>
          <w:highlight w:val="none"/>
        </w:rPr>
        <w:t>。</w:t>
      </w:r>
    </w:p>
    <w:p w14:paraId="34AB3E19">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4.2提供相同品牌产品且通过资格审查、符合性审查的不同投标人，按一家投标人计算。</w:t>
      </w:r>
    </w:p>
    <w:p w14:paraId="0A5BA0D9">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4.3如一个分包内只有一种产品，不同投标人所投产品为同一品牌的，按如下方式处理：</w:t>
      </w:r>
    </w:p>
    <w:p w14:paraId="375253FB">
      <w:pPr>
        <w:numPr>
          <w:ilvl w:val="0"/>
          <w:numId w:val="3"/>
        </w:num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如本项目使用最低评标价法，提供相同品牌产品的不同投标人以其中通过资格审查、符合性审查且报价最低的参加比较及评价；报价相同的，按</w:t>
      </w:r>
      <w:r>
        <w:rPr>
          <w:rFonts w:hint="eastAsia" w:ascii="仿宋_GB2312" w:hAnsi="仿宋" w:eastAsia="仿宋_GB2312" w:cs="仿宋_GB2312"/>
          <w:color w:val="auto"/>
          <w:kern w:val="0"/>
          <w:sz w:val="24"/>
          <w:highlight w:val="none"/>
        </w:rPr>
        <w:t>本章第8条</w:t>
      </w:r>
      <w:r>
        <w:rPr>
          <w:rFonts w:hint="eastAsia" w:ascii="仿宋_GB2312" w:hAnsi="仿宋" w:eastAsia="仿宋_GB2312" w:cs="仿宋_GB2312"/>
          <w:color w:val="auto"/>
          <w:sz w:val="24"/>
          <w:highlight w:val="none"/>
        </w:rPr>
        <w:t>“推荐中标候选人的原则”规定执行；未规定的采取随机抽取方式确定，其他</w:t>
      </w:r>
      <w:r>
        <w:rPr>
          <w:rFonts w:hint="eastAsia" w:ascii="仿宋_GB2312" w:hAnsi="仿宋" w:eastAsia="仿宋_GB2312" w:cs="仿宋_GB2312"/>
          <w:b/>
          <w:bCs/>
          <w:color w:val="auto"/>
          <w:sz w:val="24"/>
          <w:highlight w:val="none"/>
        </w:rPr>
        <w:t>投标无效</w:t>
      </w:r>
      <w:r>
        <w:rPr>
          <w:rFonts w:hint="eastAsia" w:ascii="仿宋_GB2312" w:hAnsi="仿宋" w:eastAsia="仿宋_GB2312" w:cs="仿宋_GB2312"/>
          <w:color w:val="auto"/>
          <w:sz w:val="24"/>
          <w:highlight w:val="none"/>
        </w:rPr>
        <w:t>。</w:t>
      </w:r>
    </w:p>
    <w:p w14:paraId="6B1177C7">
      <w:pPr>
        <w:adjustRightInd w:val="0"/>
        <w:snapToGrid w:val="0"/>
        <w:spacing w:line="440" w:lineRule="exact"/>
        <w:ind w:firstLine="480" w:firstLineChars="200"/>
        <w:rPr>
          <w:rFonts w:ascii="仿宋_GB2312" w:hAnsi="仿宋" w:eastAsia="仿宋_GB2312" w:cs="仿宋_GB2312"/>
          <w:color w:val="auto"/>
          <w:sz w:val="24"/>
          <w:highlight w:val="none"/>
        </w:rPr>
      </w:pPr>
    </w:p>
    <w:p w14:paraId="30B56453">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14:paraId="0021FC68">
      <w:pPr>
        <w:adjustRightInd w:val="0"/>
        <w:snapToGrid w:val="0"/>
        <w:spacing w:line="440" w:lineRule="exact"/>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4.4如一个分包内包含多种产品的，采购人或采购组织机构将在招标文件中载明核心产品，多家投标人提供的核心产品品牌相同的，</w:t>
      </w:r>
      <w:r>
        <w:rPr>
          <w:rFonts w:hint="eastAsia" w:ascii="仿宋_GB2312" w:hAnsi="仿宋" w:eastAsia="仿宋_GB2312" w:cs="仿宋_GB2312"/>
          <w:color w:val="auto"/>
          <w:kern w:val="0"/>
          <w:sz w:val="24"/>
          <w:highlight w:val="none"/>
        </w:rPr>
        <w:t>按本章第4.3条规定处理。</w:t>
      </w:r>
    </w:p>
    <w:p w14:paraId="2E93742A">
      <w:pPr>
        <w:adjustRightInd w:val="0"/>
        <w:snapToGrid w:val="0"/>
        <w:spacing w:line="440" w:lineRule="exact"/>
        <w:ind w:firstLine="240" w:firstLineChars="100"/>
        <w:rPr>
          <w:rFonts w:ascii="仿宋_GB2312" w:hAnsi="仿宋" w:eastAsia="仿宋_GB2312" w:cs="仿宋_GB2312"/>
          <w:b/>
          <w:bCs/>
          <w:color w:val="auto"/>
          <w:kern w:val="0"/>
          <w:sz w:val="24"/>
          <w:highlight w:val="none"/>
        </w:rPr>
      </w:pPr>
      <w:r>
        <w:rPr>
          <w:rFonts w:hint="eastAsia" w:ascii="仿宋_GB2312" w:hAnsi="仿宋" w:eastAsia="仿宋_GB2312" w:cs="仿宋_GB2312"/>
          <w:b/>
          <w:color w:val="auto"/>
          <w:kern w:val="0"/>
          <w:sz w:val="24"/>
          <w:highlight w:val="none"/>
        </w:rPr>
        <w:t>★5</w:t>
      </w:r>
      <w:r>
        <w:rPr>
          <w:rFonts w:hint="eastAsia" w:ascii="仿宋_GB2312" w:hAnsi="仿宋" w:eastAsia="仿宋_GB2312" w:cs="仿宋_GB2312"/>
          <w:b/>
          <w:bCs/>
          <w:color w:val="auto"/>
          <w:kern w:val="0"/>
          <w:sz w:val="24"/>
          <w:highlight w:val="none"/>
        </w:rPr>
        <w:t>.比较及评价</w:t>
      </w:r>
    </w:p>
    <w:p w14:paraId="0A2AEE98">
      <w:pPr>
        <w:adjustRightInd w:val="0"/>
        <w:snapToGrid w:val="0"/>
        <w:spacing w:line="440" w:lineRule="exact"/>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5.1评标委员会对通过符合性审查的投标文件进行比较和评价。</w:t>
      </w:r>
    </w:p>
    <w:p w14:paraId="6D776A01">
      <w:pPr>
        <w:adjustRightInd w:val="0"/>
        <w:snapToGrid w:val="0"/>
        <w:spacing w:line="440" w:lineRule="exact"/>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5.2在评标期间，对投标文件的澄清按投标人须知24条内容执行。</w:t>
      </w:r>
    </w:p>
    <w:p w14:paraId="23AE8F27">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5.3评标委员会认为投标人的报价明显低于其他通过符合性审查的投标人报价，有可能影响产品质量或者不能诚信履约的，评标委员会应当要求其在评标现场合理的时间（</w:t>
      </w:r>
      <w:r>
        <w:rPr>
          <w:rFonts w:hint="eastAsia" w:ascii="仿宋_GB2312" w:hAnsi="仿宋" w:eastAsia="仿宋_GB2312" w:cs="仿宋_GB2312"/>
          <w:color w:val="auto"/>
          <w:kern w:val="0"/>
          <w:sz w:val="24"/>
          <w:highlight w:val="none"/>
        </w:rPr>
        <w:t>接到通知后</w:t>
      </w:r>
      <w:r>
        <w:rPr>
          <w:rFonts w:hint="eastAsia" w:ascii="仿宋_GB2312" w:hAnsi="仿宋" w:eastAsia="仿宋_GB2312" w:cs="仿宋_GB2312"/>
          <w:color w:val="auto"/>
          <w:kern w:val="0"/>
          <w:sz w:val="24"/>
          <w:highlight w:val="none"/>
          <w:u w:val="single"/>
        </w:rPr>
        <w:t xml:space="preserve"> 0.5 </w:t>
      </w:r>
      <w:r>
        <w:rPr>
          <w:rFonts w:hint="eastAsia" w:ascii="仿宋_GB2312" w:hAnsi="仿宋" w:eastAsia="仿宋_GB2312" w:cs="仿宋_GB2312"/>
          <w:color w:val="auto"/>
          <w:kern w:val="0"/>
          <w:sz w:val="24"/>
          <w:highlight w:val="none"/>
        </w:rPr>
        <w:t>小时</w:t>
      </w:r>
      <w:r>
        <w:rPr>
          <w:rFonts w:hint="eastAsia" w:ascii="仿宋_GB2312" w:hAnsi="仿宋" w:eastAsia="仿宋_GB2312" w:cs="仿宋_GB2312"/>
          <w:color w:val="auto"/>
          <w:sz w:val="24"/>
          <w:highlight w:val="none"/>
        </w:rPr>
        <w:t>）内提供书面说明，并提交相关证明材料，</w:t>
      </w:r>
      <w:r>
        <w:rPr>
          <w:rFonts w:hint="eastAsia" w:ascii="仿宋_GB2312" w:hAnsi="仿宋" w:eastAsia="仿宋_GB2312" w:cs="仿宋_GB2312"/>
          <w:color w:val="auto"/>
          <w:kern w:val="0"/>
          <w:sz w:val="24"/>
          <w:highlight w:val="none"/>
        </w:rPr>
        <w:t>投标人不能证明其报价合理性的，评标委员会应当将</w:t>
      </w:r>
      <w:r>
        <w:rPr>
          <w:rFonts w:hint="eastAsia" w:ascii="仿宋_GB2312" w:hAnsi="仿宋" w:eastAsia="仿宋_GB2312" w:cs="仿宋_GB2312"/>
          <w:color w:val="auto"/>
          <w:sz w:val="24"/>
          <w:highlight w:val="none"/>
        </w:rPr>
        <w:t>其投标作为</w:t>
      </w:r>
      <w:r>
        <w:rPr>
          <w:rFonts w:hint="eastAsia" w:ascii="仿宋_GB2312" w:hAnsi="仿宋" w:eastAsia="仿宋_GB2312" w:cs="仿宋_GB2312"/>
          <w:b/>
          <w:bCs/>
          <w:color w:val="auto"/>
          <w:sz w:val="24"/>
          <w:highlight w:val="none"/>
        </w:rPr>
        <w:t>无效投标处理</w:t>
      </w:r>
      <w:r>
        <w:rPr>
          <w:rFonts w:hint="eastAsia" w:ascii="仿宋_GB2312" w:hAnsi="仿宋" w:eastAsia="仿宋_GB2312" w:cs="仿宋_GB2312"/>
          <w:color w:val="auto"/>
          <w:sz w:val="24"/>
          <w:highlight w:val="none"/>
        </w:rPr>
        <w:t>。</w:t>
      </w:r>
    </w:p>
    <w:p w14:paraId="23896C07">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投标人的书面说明材料包含货物本身成本、人工费用、运输、税收等，以及报价不会影响产品质量或诚信履约能力的说明等。</w:t>
      </w:r>
    </w:p>
    <w:p w14:paraId="42A1FAED">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投标人的书面说明应当签字确认或者加盖公章，否则无效。书面说明的签字确认，由其法定代表人（非法人单位负责人或自然人本人）或者其授权代表签字确认。</w:t>
      </w:r>
    </w:p>
    <w:p w14:paraId="56C5BBFC">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14:paraId="12C5899E">
      <w:pPr>
        <w:numPr>
          <w:ilvl w:val="0"/>
          <w:numId w:val="4"/>
        </w:num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拒绝或者变相拒绝提供有效书面说明；</w:t>
      </w:r>
    </w:p>
    <w:p w14:paraId="75E8A9D9">
      <w:pPr>
        <w:numPr>
          <w:ilvl w:val="0"/>
          <w:numId w:val="4"/>
        </w:num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书面说明不能证明其报价合理性的；</w:t>
      </w:r>
    </w:p>
    <w:p w14:paraId="6BFCE8C6">
      <w:pPr>
        <w:numPr>
          <w:ilvl w:val="0"/>
          <w:numId w:val="4"/>
        </w:num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未在规定时间内递交有效书面说明书的。</w:t>
      </w:r>
    </w:p>
    <w:p w14:paraId="504CCFE4">
      <w:pPr>
        <w:adjustRightInd w:val="0"/>
        <w:snapToGrid w:val="0"/>
        <w:spacing w:line="440" w:lineRule="exact"/>
        <w:ind w:firstLine="240" w:firstLineChars="100"/>
        <w:rPr>
          <w:rFonts w:ascii="仿宋_GB2312" w:hAnsi="仿宋" w:eastAsia="仿宋_GB2312" w:cs="仿宋_GB2312"/>
          <w:b/>
          <w:bCs/>
          <w:color w:val="auto"/>
          <w:kern w:val="0"/>
          <w:sz w:val="24"/>
          <w:highlight w:val="none"/>
        </w:rPr>
      </w:pPr>
      <w:r>
        <w:rPr>
          <w:rFonts w:hint="eastAsia" w:ascii="仿宋_GB2312" w:hAnsi="仿宋" w:eastAsia="仿宋_GB2312" w:cs="仿宋_GB2312"/>
          <w:b/>
          <w:color w:val="auto"/>
          <w:kern w:val="0"/>
          <w:sz w:val="24"/>
          <w:highlight w:val="none"/>
        </w:rPr>
        <w:t>★6</w:t>
      </w:r>
      <w:r>
        <w:rPr>
          <w:rFonts w:hint="eastAsia" w:ascii="仿宋_GB2312" w:hAnsi="仿宋" w:eastAsia="仿宋_GB2312" w:cs="仿宋_GB2312"/>
          <w:b/>
          <w:bCs/>
          <w:color w:val="auto"/>
          <w:kern w:val="0"/>
          <w:sz w:val="24"/>
          <w:highlight w:val="none"/>
        </w:rPr>
        <w:t>.需落实的政府采购政策性规定：</w:t>
      </w:r>
    </w:p>
    <w:p w14:paraId="7EC8E65A">
      <w:pPr>
        <w:adjustRightInd w:val="0"/>
        <w:snapToGrid w:val="0"/>
        <w:spacing w:line="440" w:lineRule="exact"/>
        <w:ind w:firstLine="480" w:firstLineChars="200"/>
        <w:rPr>
          <w:rFonts w:ascii="仿宋_GB2312" w:hAnsi="仿宋" w:eastAsia="仿宋_GB2312"/>
          <w:b/>
          <w:color w:val="auto"/>
          <w:kern w:val="0"/>
          <w:sz w:val="24"/>
          <w:highlight w:val="none"/>
        </w:rPr>
      </w:pPr>
      <w:r>
        <w:rPr>
          <w:rFonts w:hint="eastAsia" w:ascii="仿宋_GB2312" w:hAnsi="仿宋" w:eastAsia="仿宋_GB2312" w:cs="仿宋_GB2312"/>
          <w:b/>
          <w:color w:val="auto"/>
          <w:kern w:val="0"/>
          <w:sz w:val="24"/>
          <w:highlight w:val="none"/>
        </w:rPr>
        <w:t>6.1对于中小微企业的相关规定</w:t>
      </w:r>
    </w:p>
    <w:p w14:paraId="1AD7F158">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6.1.1对于非专门面向中小企业的项目，在满足价格扣除条件且在投标文件中按要求提交了《中小企业声明函》</w:t>
      </w:r>
      <w:r>
        <w:rPr>
          <w:rFonts w:hint="eastAsia" w:ascii="仿宋_GB2312" w:hAnsi="仿宋" w:eastAsia="仿宋_GB2312" w:cs="仿宋_GB2312"/>
          <w:color w:val="auto"/>
          <w:kern w:val="0"/>
          <w:sz w:val="24"/>
          <w:highlight w:val="none"/>
        </w:rPr>
        <w:t>的，</w:t>
      </w:r>
      <w:r>
        <w:rPr>
          <w:rFonts w:hint="eastAsia" w:ascii="仿宋_GB2312" w:hAnsi="仿宋" w:eastAsia="仿宋_GB2312" w:cs="仿宋_GB2312"/>
          <w:color w:val="auto"/>
          <w:sz w:val="24"/>
          <w:highlight w:val="none"/>
        </w:rPr>
        <w:t>对投标报价给予价格扣除，用扣除后的价格参与评审。投标报价扣除比例如下：</w:t>
      </w:r>
    </w:p>
    <w:p w14:paraId="54B11F6F">
      <w:pPr>
        <w:adjustRightInd w:val="0"/>
        <w:snapToGrid w:val="0"/>
        <w:spacing w:line="440" w:lineRule="exact"/>
        <w:ind w:firstLine="240" w:firstLineChars="1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（1）非联合体投标</w:t>
      </w:r>
    </w:p>
    <w:p w14:paraId="5C9E87E3">
      <w:pPr>
        <w:adjustRightInd w:val="0"/>
        <w:snapToGrid w:val="0"/>
        <w:spacing w:line="440" w:lineRule="exact"/>
        <w:ind w:firstLine="240" w:firstLineChars="100"/>
        <w:jc w:val="left"/>
        <w:rPr>
          <w:rFonts w:ascii="仿宋_GB2312" w:hAnsi="仿宋" w:eastAsia="仿宋_GB2312" w:cs="仿宋_GB2312"/>
          <w:color w:val="auto"/>
          <w:sz w:val="24"/>
          <w:highlight w:val="none"/>
        </w:rPr>
      </w:pPr>
    </w:p>
    <w:p w14:paraId="03E6C38F">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小型和微型企业相应产品、服务投标报价的</w:t>
      </w:r>
      <w:r>
        <w:rPr>
          <w:rFonts w:hint="eastAsia" w:ascii="仿宋_GB2312" w:hAnsi="仿宋" w:eastAsia="仿宋_GB2312" w:cs="仿宋_GB2312"/>
          <w:color w:val="auto"/>
          <w:kern w:val="0"/>
          <w:sz w:val="24"/>
          <w:highlight w:val="none"/>
          <w:u w:val="single"/>
        </w:rPr>
        <w:t xml:space="preserve"> </w:t>
      </w:r>
      <w:r>
        <w:rPr>
          <w:rFonts w:hint="eastAsia" w:ascii="仿宋_GB2312" w:hAnsi="仿宋" w:eastAsia="仿宋_GB2312" w:cs="仿宋_GB2312"/>
          <w:b/>
          <w:color w:val="auto"/>
          <w:kern w:val="0"/>
          <w:sz w:val="24"/>
          <w:highlight w:val="none"/>
          <w:u w:val="single"/>
        </w:rPr>
        <w:t>10%</w:t>
      </w:r>
      <w:r>
        <w:rPr>
          <w:rFonts w:hint="eastAsia" w:ascii="仿宋_GB2312" w:hAnsi="仿宋" w:eastAsia="仿宋_GB2312" w:cs="仿宋_GB2312"/>
          <w:b/>
          <w:bCs/>
          <w:color w:val="auto"/>
          <w:kern w:val="0"/>
          <w:sz w:val="24"/>
          <w:highlight w:val="none"/>
          <w:u w:val="single"/>
        </w:rPr>
        <w:t>。</w:t>
      </w:r>
      <w:r>
        <w:rPr>
          <w:rFonts w:hint="eastAsia" w:ascii="仿宋_GB2312" w:hAnsi="仿宋" w:eastAsia="仿宋_GB2312" w:cs="仿宋_GB2312"/>
          <w:bCs/>
          <w:color w:val="auto"/>
          <w:kern w:val="0"/>
          <w:sz w:val="24"/>
          <w:highlight w:val="none"/>
        </w:rPr>
        <w:t>（10-20%）</w:t>
      </w:r>
    </w:p>
    <w:p w14:paraId="0EE83E2C">
      <w:pPr>
        <w:adjustRightInd w:val="0"/>
        <w:snapToGrid w:val="0"/>
        <w:spacing w:line="440" w:lineRule="exact"/>
        <w:ind w:firstLine="240" w:firstLineChars="1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（2）联合体投标（本项目不适用）</w:t>
      </w:r>
    </w:p>
    <w:p w14:paraId="320BA314">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Pr>
          <w:rFonts w:hint="eastAsia" w:ascii="仿宋_GB2312" w:hAnsi="仿宋" w:eastAsia="仿宋_GB2312" w:cs="仿宋_GB2312"/>
          <w:color w:val="auto"/>
          <w:kern w:val="0"/>
          <w:sz w:val="24"/>
          <w:highlight w:val="none"/>
          <w:u w:val="single"/>
        </w:rPr>
        <w:t xml:space="preserve"> /。</w:t>
      </w:r>
    </w:p>
    <w:p w14:paraId="4838D044">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联合体各方均为小型、微型企业的，联合体视同为小型、微型企业，按第本款（1）条规定扣除比例享受扶持政策。组成联合体的大中型企业和其他自然人、法人或者其他组织，与小型、微型企业之间不得存在投资关系。 </w:t>
      </w:r>
    </w:p>
    <w:p w14:paraId="17071B63">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6.1.2监狱企业视同小型、微型企业，在满足价格扣除条件且在投标文件中按要求提交了省级以上监狱管理局、戒毒管理局（含新疆生产建设兵团）出具的属于监狱企业的证明文件的，对其投标报价按本章</w:t>
      </w:r>
      <w:r>
        <w:rPr>
          <w:rFonts w:ascii="仿宋_GB2312" w:hAnsi="仿宋" w:eastAsia="仿宋_GB2312" w:cs="仿宋_GB2312"/>
          <w:color w:val="auto"/>
          <w:sz w:val="24"/>
          <w:highlight w:val="none"/>
        </w:rPr>
        <w:t>6</w:t>
      </w:r>
      <w:r>
        <w:rPr>
          <w:rFonts w:hint="eastAsia" w:ascii="仿宋_GB2312" w:hAnsi="仿宋" w:eastAsia="仿宋_GB2312" w:cs="仿宋_GB2312"/>
          <w:color w:val="auto"/>
          <w:sz w:val="24"/>
          <w:highlight w:val="none"/>
        </w:rPr>
        <w:t>.1.1条款的比例予以扣除，</w:t>
      </w:r>
      <w:r>
        <w:rPr>
          <w:rFonts w:hint="eastAsia" w:ascii="仿宋_GB2312" w:hAnsi="仿宋" w:eastAsia="仿宋_GB2312" w:cs="仿宋_GB2312"/>
          <w:color w:val="auto"/>
          <w:kern w:val="0"/>
          <w:sz w:val="24"/>
          <w:highlight w:val="none"/>
        </w:rPr>
        <w:t>用扣除后的价格参与评审</w:t>
      </w:r>
      <w:r>
        <w:rPr>
          <w:rFonts w:hint="eastAsia" w:ascii="仿宋_GB2312" w:hAnsi="仿宋" w:eastAsia="仿宋_GB2312" w:cs="仿宋_GB2312"/>
          <w:color w:val="auto"/>
          <w:sz w:val="24"/>
          <w:highlight w:val="none"/>
        </w:rPr>
        <w:t>。</w:t>
      </w:r>
    </w:p>
    <w:p w14:paraId="3711E405">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b/>
          <w:color w:val="auto"/>
          <w:kern w:val="0"/>
          <w:sz w:val="24"/>
          <w:highlight w:val="none"/>
        </w:rPr>
        <w:t>6.1.3</w:t>
      </w:r>
      <w:r>
        <w:rPr>
          <w:rFonts w:hint="eastAsia" w:ascii="仿宋_GB2312" w:hAnsi="仿宋" w:eastAsia="仿宋_GB2312" w:cs="仿宋_GB2312"/>
          <w:color w:val="auto"/>
          <w:sz w:val="24"/>
          <w:highlight w:val="none"/>
        </w:rPr>
        <w:t>残疾人福利性单位视同小型、微型企业，在满足价格扣除条件且在</w:t>
      </w:r>
      <w:r>
        <w:rPr>
          <w:rFonts w:hint="eastAsia" w:ascii="仿宋_GB2312" w:hAnsi="仿宋" w:eastAsia="仿宋_GB2312" w:cs="仿宋_GB2312"/>
          <w:color w:val="auto"/>
          <w:kern w:val="0"/>
          <w:sz w:val="24"/>
          <w:highlight w:val="none"/>
        </w:rPr>
        <w:t>投标文件中提供了《残疾人福利性单位声明函》的，</w:t>
      </w:r>
      <w:r>
        <w:rPr>
          <w:rFonts w:hint="eastAsia" w:ascii="仿宋_GB2312" w:hAnsi="仿宋" w:eastAsia="仿宋_GB2312" w:cs="仿宋_GB2312"/>
          <w:color w:val="auto"/>
          <w:sz w:val="24"/>
          <w:highlight w:val="none"/>
        </w:rPr>
        <w:t>对其投标报价按本章</w:t>
      </w:r>
      <w:r>
        <w:rPr>
          <w:rFonts w:ascii="仿宋_GB2312" w:hAnsi="仿宋" w:eastAsia="仿宋_GB2312" w:cs="仿宋_GB2312"/>
          <w:color w:val="auto"/>
          <w:sz w:val="24"/>
          <w:highlight w:val="none"/>
        </w:rPr>
        <w:t>6</w:t>
      </w:r>
      <w:r>
        <w:rPr>
          <w:rFonts w:hint="eastAsia" w:ascii="仿宋_GB2312" w:hAnsi="仿宋" w:eastAsia="仿宋_GB2312" w:cs="仿宋_GB2312"/>
          <w:color w:val="auto"/>
          <w:sz w:val="24"/>
          <w:highlight w:val="none"/>
        </w:rPr>
        <w:t>.1.1条款的比例予以扣除</w:t>
      </w:r>
      <w:r>
        <w:rPr>
          <w:rFonts w:hint="eastAsia" w:ascii="仿宋_GB2312" w:hAnsi="仿宋" w:eastAsia="仿宋_GB2312" w:cs="仿宋_GB2312"/>
          <w:color w:val="auto"/>
          <w:kern w:val="0"/>
          <w:sz w:val="24"/>
          <w:highlight w:val="none"/>
        </w:rPr>
        <w:t>，用扣除后的价格参与评审。</w:t>
      </w:r>
    </w:p>
    <w:p w14:paraId="1656BB2D">
      <w:pPr>
        <w:adjustRightInd w:val="0"/>
        <w:snapToGrid w:val="0"/>
        <w:spacing w:line="440" w:lineRule="exact"/>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b/>
          <w:color w:val="auto"/>
          <w:sz w:val="24"/>
          <w:highlight w:val="none"/>
        </w:rPr>
        <w:t>6.1.4监狱企业、残疾人福利性单位属于小型、微型企业的，不重复享受政策。</w:t>
      </w:r>
    </w:p>
    <w:p w14:paraId="70DA47D7">
      <w:pPr>
        <w:adjustRightInd w:val="0"/>
        <w:snapToGrid w:val="0"/>
        <w:spacing w:line="440" w:lineRule="exact"/>
        <w:ind w:firstLine="480" w:firstLineChars="200"/>
        <w:rPr>
          <w:rFonts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t>6.2对于节能产品、环境标志产品的相关规定</w:t>
      </w:r>
    </w:p>
    <w:p w14:paraId="32B26FF7">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节能产品或环境标志产品，依据认证证书实施政府优先采购。投标人应能够提供国家确定的认证机构出具的、处于有效期之内的节能产品、环境标志产品认证证书，方可对获得证书的产品优先推荐。</w:t>
      </w:r>
    </w:p>
    <w:p w14:paraId="661072C3">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采用最低评标价法的，</w:t>
      </w:r>
      <w:r>
        <w:rPr>
          <w:rFonts w:hint="eastAsia" w:ascii="仿宋_GB2312" w:hAnsi="仿宋" w:eastAsia="仿宋_GB2312" w:cs="仿宋_GB2312"/>
          <w:color w:val="auto"/>
          <w:sz w:val="24"/>
          <w:highlight w:val="none"/>
        </w:rPr>
        <w:t>对《获得节能/环保认证产品部分报价表》</w:t>
      </w:r>
      <w:r>
        <w:rPr>
          <w:rFonts w:hint="eastAsia" w:ascii="仿宋_GB2312" w:hAnsi="仿宋" w:eastAsia="仿宋_GB2312" w:cs="仿宋_GB2312"/>
          <w:color w:val="auto"/>
          <w:kern w:val="0"/>
          <w:sz w:val="24"/>
          <w:highlight w:val="none"/>
        </w:rPr>
        <w:t>中投标产品的报价</w:t>
      </w:r>
      <w:r>
        <w:rPr>
          <w:rFonts w:hint="eastAsia" w:ascii="仿宋_GB2312" w:hAnsi="仿宋" w:eastAsia="仿宋_GB2312" w:cs="仿宋_GB2312"/>
          <w:color w:val="auto"/>
          <w:sz w:val="24"/>
          <w:highlight w:val="none"/>
        </w:rPr>
        <w:t>给予价格扣除，用扣除后的价格参与评审。报价扣除比例为《获得节能/环保认证产品部分报价表》</w:t>
      </w:r>
      <w:r>
        <w:rPr>
          <w:rFonts w:hint="eastAsia" w:ascii="仿宋_GB2312" w:hAnsi="仿宋" w:eastAsia="仿宋_GB2312" w:cs="仿宋_GB2312"/>
          <w:color w:val="auto"/>
          <w:kern w:val="0"/>
          <w:sz w:val="24"/>
          <w:highlight w:val="none"/>
        </w:rPr>
        <w:t>中产品报价的</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u w:val="single"/>
          <w:lang w:val="en-US" w:eastAsia="zh-CN"/>
        </w:rPr>
        <w:t>/</w:t>
      </w:r>
      <w:r>
        <w:rPr>
          <w:rFonts w:hint="eastAsia"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w:t>
      </w:r>
    </w:p>
    <w:p w14:paraId="25CA5E9A">
      <w:pPr>
        <w:adjustRightInd w:val="0"/>
        <w:snapToGri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kern w:val="0"/>
          <w:sz w:val="24"/>
          <w:highlight w:val="none"/>
        </w:rPr>
        <w:t>采用综合评分法评标的项目，对</w:t>
      </w:r>
      <w:r>
        <w:rPr>
          <w:rFonts w:hint="eastAsia" w:ascii="仿宋_GB2312" w:hAnsi="仿宋" w:eastAsia="仿宋_GB2312" w:cs="仿宋_GB2312"/>
          <w:color w:val="auto"/>
          <w:sz w:val="24"/>
          <w:highlight w:val="none"/>
        </w:rPr>
        <w:t>《获得节能/环保认证产品部分报价表》</w:t>
      </w:r>
      <w:r>
        <w:rPr>
          <w:rFonts w:hint="eastAsia" w:ascii="仿宋_GB2312" w:hAnsi="仿宋" w:eastAsia="仿宋_GB2312" w:cs="仿宋_GB2312"/>
          <w:color w:val="auto"/>
          <w:kern w:val="0"/>
          <w:sz w:val="24"/>
          <w:highlight w:val="none"/>
        </w:rPr>
        <w:t>中产品给予相应的加分。（详见评分细则）</w:t>
      </w:r>
    </w:p>
    <w:p w14:paraId="7A074562">
      <w:pPr>
        <w:adjustRightInd w:val="0"/>
        <w:spacing w:line="440" w:lineRule="exact"/>
        <w:ind w:firstLine="480" w:firstLineChars="200"/>
        <w:jc w:val="left"/>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6.3对于列入《辽宁省创新产品和服务目录》内的产品、服务的相关规定(本项目不适用)</w:t>
      </w:r>
    </w:p>
    <w:p w14:paraId="5DC5A956">
      <w:pPr>
        <w:adjustRightIn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采用最低评标价法的：对列入《辽宁省创新产品和服务目录》内的投标产品、服务给予其投标报价</w:t>
      </w:r>
      <w:r>
        <w:rPr>
          <w:rFonts w:hint="eastAsia" w:ascii="仿宋_GB2312" w:hAnsi="仿宋" w:eastAsia="仿宋_GB2312" w:cs="仿宋_GB2312"/>
          <w:color w:val="auto"/>
          <w:sz w:val="24"/>
          <w:highlight w:val="none"/>
          <w:u w:val="single"/>
        </w:rPr>
        <w:t xml:space="preserve"> / </w:t>
      </w:r>
      <w:r>
        <w:rPr>
          <w:rFonts w:hint="eastAsia" w:ascii="仿宋_GB2312" w:hAnsi="仿宋" w:eastAsia="仿宋_GB2312" w:cs="仿宋_GB2312"/>
          <w:color w:val="auto"/>
          <w:sz w:val="24"/>
          <w:highlight w:val="none"/>
        </w:rPr>
        <w:t>%的价格扣除，用扣除后的价格参与评审。</w:t>
      </w:r>
    </w:p>
    <w:p w14:paraId="3A9DB4A6">
      <w:pPr>
        <w:adjustRightInd w:val="0"/>
        <w:spacing w:line="440" w:lineRule="exact"/>
        <w:ind w:firstLine="480" w:firstLineChars="200"/>
        <w:jc w:val="left"/>
        <w:rPr>
          <w:rFonts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采用综合评分法评标的：对列入《辽宁省创新产品和服务目录》内的投标产品、服务给予</w:t>
      </w:r>
      <w:r>
        <w:rPr>
          <w:rFonts w:hint="eastAsia" w:ascii="仿宋_GB2312" w:hAnsi="仿宋" w:eastAsia="仿宋_GB2312" w:cs="仿宋_GB2312"/>
          <w:color w:val="auto"/>
          <w:sz w:val="24"/>
          <w:highlight w:val="none"/>
          <w:u w:val="single"/>
        </w:rPr>
        <w:t xml:space="preserve"> /</w:t>
      </w:r>
      <w:r>
        <w:rPr>
          <w:rFonts w:ascii="仿宋_GB2312" w:hAnsi="仿宋" w:eastAsia="仿宋_GB2312" w:cs="仿宋_GB2312"/>
          <w:color w:val="auto"/>
          <w:sz w:val="24"/>
          <w:highlight w:val="none"/>
          <w:u w:val="single"/>
        </w:rPr>
        <w:t xml:space="preserve"> </w:t>
      </w:r>
      <w:r>
        <w:rPr>
          <w:rFonts w:hint="eastAsia" w:ascii="仿宋_GB2312" w:hAnsi="仿宋" w:eastAsia="仿宋_GB2312" w:cs="仿宋_GB2312"/>
          <w:color w:val="auto"/>
          <w:sz w:val="24"/>
          <w:highlight w:val="none"/>
        </w:rPr>
        <w:t>%的加分（详见评分细则）。</w:t>
      </w:r>
    </w:p>
    <w:p w14:paraId="5AD7E2EC">
      <w:pPr>
        <w:adjustRightInd w:val="0"/>
        <w:snapToGrid w:val="0"/>
        <w:spacing w:line="440" w:lineRule="exact"/>
        <w:ind w:firstLine="480" w:firstLineChars="200"/>
        <w:rPr>
          <w:rFonts w:ascii="仿宋_GB2312" w:hAnsi="仿宋" w:eastAsia="仿宋_GB2312" w:cs="仿宋_GB2312"/>
          <w:b/>
          <w:bCs/>
          <w:color w:val="auto"/>
          <w:kern w:val="0"/>
          <w:sz w:val="24"/>
          <w:highlight w:val="none"/>
        </w:rPr>
      </w:pPr>
      <w:r>
        <w:rPr>
          <w:rFonts w:hint="eastAsia" w:ascii="仿宋_GB2312" w:hAnsi="仿宋" w:eastAsia="仿宋_GB2312" w:cs="仿宋_GB2312"/>
          <w:b/>
          <w:color w:val="auto"/>
          <w:kern w:val="0"/>
          <w:sz w:val="24"/>
          <w:highlight w:val="none"/>
        </w:rPr>
        <w:t>★7</w:t>
      </w:r>
      <w:r>
        <w:rPr>
          <w:rFonts w:hint="eastAsia" w:ascii="仿宋_GB2312" w:hAnsi="仿宋" w:eastAsia="仿宋_GB2312" w:cs="仿宋_GB2312"/>
          <w:b/>
          <w:bCs/>
          <w:color w:val="auto"/>
          <w:kern w:val="0"/>
          <w:sz w:val="24"/>
          <w:highlight w:val="none"/>
        </w:rPr>
        <w:t>.投标无效情况详见投标人须知。</w:t>
      </w:r>
    </w:p>
    <w:p w14:paraId="3EB91FA5">
      <w:pPr>
        <w:adjustRightInd w:val="0"/>
        <w:snapToGrid w:val="0"/>
        <w:spacing w:line="440" w:lineRule="exact"/>
        <w:ind w:firstLine="480" w:firstLineChars="200"/>
        <w:rPr>
          <w:rFonts w:ascii="仿宋_GB2312" w:hAnsi="仿宋" w:eastAsia="仿宋_GB2312" w:cs="仿宋_GB2312"/>
          <w:b/>
          <w:bCs/>
          <w:color w:val="auto"/>
          <w:kern w:val="0"/>
          <w:sz w:val="24"/>
          <w:highlight w:val="none"/>
        </w:rPr>
      </w:pPr>
      <w:r>
        <w:rPr>
          <w:rFonts w:hint="eastAsia" w:ascii="仿宋_GB2312" w:hAnsi="仿宋" w:eastAsia="仿宋_GB2312" w:cs="仿宋_GB2312"/>
          <w:b/>
          <w:color w:val="auto"/>
          <w:kern w:val="0"/>
          <w:sz w:val="24"/>
          <w:highlight w:val="none"/>
        </w:rPr>
        <w:t>★8</w:t>
      </w:r>
      <w:r>
        <w:rPr>
          <w:rFonts w:hint="eastAsia" w:ascii="仿宋_GB2312" w:hAnsi="仿宋" w:eastAsia="仿宋_GB2312" w:cs="仿宋_GB2312"/>
          <w:b/>
          <w:bCs/>
          <w:color w:val="auto"/>
          <w:kern w:val="0"/>
          <w:sz w:val="24"/>
          <w:highlight w:val="none"/>
        </w:rPr>
        <w:t>.推荐中标候选人的原则</w:t>
      </w:r>
    </w:p>
    <w:p w14:paraId="5393C64D">
      <w:pPr>
        <w:adjustRightInd w:val="0"/>
        <w:snapToGrid w:val="0"/>
        <w:spacing w:line="440" w:lineRule="exact"/>
        <w:ind w:firstLine="480" w:firstLineChars="200"/>
        <w:rPr>
          <w:rFonts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详见第一章投标人须知第29条，具体处理办法如下：</w:t>
      </w:r>
    </w:p>
    <w:p w14:paraId="4F267A8E">
      <w:pPr>
        <w:adjustRightInd w:val="0"/>
        <w:spacing w:line="440" w:lineRule="exact"/>
        <w:ind w:firstLine="480" w:firstLineChars="200"/>
        <w:jc w:val="left"/>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（1）采用最低评标价法的</w:t>
      </w:r>
      <w:r>
        <w:rPr>
          <w:rFonts w:hint="eastAsia" w:ascii="仿宋_GB2312" w:hAnsi="仿宋" w:eastAsia="仿宋_GB2312" w:cs="仿宋_GB2312"/>
          <w:b/>
          <w:bCs/>
          <w:color w:val="auto"/>
          <w:sz w:val="24"/>
          <w:highlight w:val="none"/>
        </w:rPr>
        <w:t>(本项目不适用)</w:t>
      </w:r>
      <w:r>
        <w:rPr>
          <w:rFonts w:hint="eastAsia" w:ascii="仿宋_GB2312" w:hAnsi="仿宋" w:eastAsia="仿宋_GB2312" w:cs="仿宋_GB2312"/>
          <w:color w:val="auto"/>
          <w:sz w:val="24"/>
          <w:highlight w:val="none"/>
        </w:rPr>
        <w:t>：</w:t>
      </w:r>
    </w:p>
    <w:p w14:paraId="59E68B3E">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扣除后的投标报价相同时，按投标报价由低至高排序；</w:t>
      </w:r>
    </w:p>
    <w:p w14:paraId="7D4C6F96">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按前款不能区分的，优先采购节能产品、环境标志产品；</w:t>
      </w:r>
    </w:p>
    <w:p w14:paraId="7A2E4B5E">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按前款不能区分的，按技术指标优劣排序；</w:t>
      </w:r>
    </w:p>
    <w:p w14:paraId="695F9E05">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其他情况，由评标委员会投票处理。</w:t>
      </w:r>
    </w:p>
    <w:p w14:paraId="59065489">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（2）采用综合评分法的：</w:t>
      </w:r>
    </w:p>
    <w:p w14:paraId="2B31E71A">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得分相同的，按扣除后的投标报价由低到高顺序排序；</w:t>
      </w:r>
    </w:p>
    <w:p w14:paraId="2EEE1A1F">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按前款不能区分的，按投标报价由低至高顺序排序；</w:t>
      </w:r>
    </w:p>
    <w:p w14:paraId="2FD1C2AA">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按前款不能区分的，优先采购节能产品、环保产品；</w:t>
      </w:r>
    </w:p>
    <w:p w14:paraId="3AD251B8">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按前款不能区分的，按技术指标优劣排序；</w:t>
      </w:r>
    </w:p>
    <w:p w14:paraId="4B63032F">
      <w:pPr>
        <w:adjustRightInd w:val="0"/>
        <w:snapToGrid w:val="0"/>
        <w:spacing w:line="440" w:lineRule="exact"/>
        <w:ind w:firstLine="960" w:firstLineChars="4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其他情况，由评标委员会投票处理。</w:t>
      </w:r>
    </w:p>
    <w:p w14:paraId="0021D121">
      <w:pPr>
        <w:adjustRightInd w:val="0"/>
        <w:snapToGrid w:val="0"/>
        <w:spacing w:line="440" w:lineRule="exact"/>
        <w:ind w:firstLine="480" w:firstLineChars="200"/>
        <w:rPr>
          <w:rFonts w:ascii="仿宋_GB2312" w:hAnsi="仿宋" w:eastAsia="仿宋_GB2312" w:cs="仿宋_GB2312"/>
          <w:b/>
          <w:color w:val="auto"/>
          <w:kern w:val="0"/>
          <w:sz w:val="24"/>
          <w:highlight w:val="none"/>
        </w:rPr>
      </w:pPr>
      <w:bookmarkStart w:id="146" w:name="_Toc30297_WPSOffice_Level2"/>
      <w:r>
        <w:rPr>
          <w:rFonts w:hint="eastAsia" w:ascii="仿宋_GB2312" w:hAnsi="仿宋" w:eastAsia="仿宋_GB2312" w:cs="仿宋_GB2312"/>
          <w:b/>
          <w:color w:val="auto"/>
          <w:sz w:val="24"/>
          <w:highlight w:val="none"/>
        </w:rPr>
        <w:t>三、</w:t>
      </w:r>
      <w:r>
        <w:rPr>
          <w:rFonts w:hint="eastAsia" w:ascii="仿宋_GB2312" w:hAnsi="仿宋" w:eastAsia="仿宋_GB2312" w:cs="仿宋_GB2312"/>
          <w:b/>
          <w:color w:val="auto"/>
          <w:kern w:val="0"/>
          <w:sz w:val="24"/>
          <w:highlight w:val="none"/>
        </w:rPr>
        <w:t>确定中标人</w:t>
      </w:r>
      <w:bookmarkEnd w:id="146"/>
    </w:p>
    <w:p w14:paraId="11D7238F">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评标委员会根据全体评标委员会成员签字的原始评标记录和评标结果编写评标报告，并向采购人提交书面评标报告。</w:t>
      </w:r>
    </w:p>
    <w:p w14:paraId="20E83ED2">
      <w:pPr>
        <w:adjustRightInd w:val="0"/>
        <w:snapToGrid w:val="0"/>
        <w:spacing w:line="440" w:lineRule="exact"/>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采购人按照评标报告确定的中标候选人名单按顺序确定中标人，或由采购人委托评标委员会按照第一章投标人须知第31条规定的方式确定中标人。</w:t>
      </w:r>
    </w:p>
    <w:p w14:paraId="6F32DF91">
      <w:pPr>
        <w:adjustRightInd w:val="0"/>
        <w:snapToGrid w:val="0"/>
        <w:spacing w:line="440" w:lineRule="exact"/>
        <w:ind w:firstLine="480" w:firstLineChars="2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注：1. 评标委员会采用综合评分法对投标人的投标文件和报价进行综合评分；</w:t>
      </w:r>
    </w:p>
    <w:p w14:paraId="1B164CB9">
      <w:pPr>
        <w:adjustRightInd w:val="0"/>
        <w:snapToGrid w:val="0"/>
        <w:spacing w:line="440" w:lineRule="exact"/>
        <w:ind w:firstLine="960" w:firstLineChars="400"/>
        <w:rPr>
          <w:rFonts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2. 评分计算保留2位小数（四舍五入）；</w:t>
      </w:r>
    </w:p>
    <w:p w14:paraId="685653EB">
      <w:pPr>
        <w:adjustRightInd w:val="0"/>
        <w:snapToGrid w:val="0"/>
        <w:spacing w:line="440" w:lineRule="exact"/>
        <w:ind w:firstLine="960" w:firstLineChars="400"/>
        <w:rPr>
          <w:rFonts w:ascii="仿宋_GB2312" w:hAnsi="仿宋" w:eastAsia="仿宋_GB2312" w:cs="仿宋_GB2312"/>
          <w:color w:val="auto"/>
          <w:szCs w:val="21"/>
          <w:highlight w:val="none"/>
        </w:rPr>
      </w:pPr>
      <w:r>
        <w:rPr>
          <w:rFonts w:hint="eastAsia" w:ascii="仿宋_GB2312" w:hAnsi="仿宋" w:eastAsia="仿宋_GB2312" w:cs="仿宋_GB2312"/>
          <w:b/>
          <w:bCs/>
          <w:color w:val="auto"/>
          <w:sz w:val="24"/>
          <w:highlight w:val="none"/>
        </w:rPr>
        <w:t>3. 评标中遇到的其它问题，由评标委员会集体研究处理。</w:t>
      </w:r>
    </w:p>
    <w:p w14:paraId="6D09B06D">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highlight w:val="none"/>
        </w:rPr>
        <w:br w:type="page"/>
      </w:r>
      <w:bookmarkStart w:id="147" w:name="_Toc32318_WPSOffice_Level2"/>
      <w:r>
        <w:rPr>
          <w:rFonts w:hint="eastAsia" w:ascii="仿宋_GB2312" w:hAnsi="仿宋" w:eastAsia="仿宋_GB2312" w:cs="仿宋_GB2312"/>
          <w:color w:val="auto"/>
          <w:szCs w:val="28"/>
          <w:highlight w:val="none"/>
        </w:rPr>
        <w:t>附件1</w:t>
      </w:r>
    </w:p>
    <w:p w14:paraId="251B5C51">
      <w:pPr>
        <w:jc w:val="center"/>
        <w:rPr>
          <w:rFonts w:ascii="方正小标宋简体" w:hAnsi="仿宋" w:eastAsia="方正小标宋简体" w:cs="仿宋_GB2312"/>
          <w:color w:val="auto"/>
          <w:sz w:val="32"/>
          <w:szCs w:val="32"/>
          <w:highlight w:val="none"/>
        </w:rPr>
      </w:pPr>
      <w:r>
        <w:rPr>
          <w:rFonts w:hint="eastAsia" w:ascii="方正小标宋简体" w:hAnsi="仿宋" w:eastAsia="方正小标宋简体" w:cs="仿宋_GB2312"/>
          <w:color w:val="auto"/>
          <w:sz w:val="32"/>
          <w:szCs w:val="32"/>
          <w:highlight w:val="none"/>
        </w:rPr>
        <w:t>资格性审查表</w:t>
      </w:r>
      <w:bookmarkEnd w:id="147"/>
    </w:p>
    <w:tbl>
      <w:tblPr>
        <w:tblStyle w:val="25"/>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3590"/>
        <w:gridCol w:w="3050"/>
        <w:gridCol w:w="717"/>
        <w:gridCol w:w="716"/>
        <w:gridCol w:w="721"/>
      </w:tblGrid>
      <w:tr w14:paraId="6A97B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489" w:type="dxa"/>
            <w:vMerge w:val="restart"/>
            <w:vAlign w:val="center"/>
          </w:tcPr>
          <w:p w14:paraId="57AA5D23">
            <w:pPr>
              <w:ind w:left="-96" w:leftChars="-46" w:right="-86" w:rightChars="-41"/>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3590" w:type="dxa"/>
            <w:vMerge w:val="restart"/>
            <w:vAlign w:val="center"/>
          </w:tcPr>
          <w:p w14:paraId="29435065">
            <w:pPr>
              <w:pStyle w:val="3"/>
              <w:adjustRightInd w:val="0"/>
              <w:snapToGrid w:val="0"/>
              <w:spacing w:before="0" w:after="0" w:line="240" w:lineRule="auto"/>
              <w:ind w:left="-96" w:leftChars="-46" w:right="-86" w:rightChars="-41"/>
              <w:rPr>
                <w:rFonts w:ascii="仿宋_GB2312" w:hAnsi="仿宋_GB2312" w:eastAsia="仿宋_GB2312" w:cs="仿宋_GB2312"/>
                <w:b w:val="0"/>
                <w:color w:val="auto"/>
                <w:sz w:val="24"/>
                <w:highlight w:val="none"/>
              </w:rPr>
            </w:pPr>
            <w:r>
              <w:rPr>
                <w:rFonts w:hint="eastAsia" w:ascii="仿宋_GB2312" w:hAnsi="仿宋_GB2312" w:eastAsia="仿宋_GB2312" w:cs="仿宋_GB2312"/>
                <w:b w:val="0"/>
                <w:color w:val="auto"/>
                <w:sz w:val="24"/>
                <w:highlight w:val="none"/>
              </w:rPr>
              <w:t>审查项目</w:t>
            </w:r>
          </w:p>
        </w:tc>
        <w:tc>
          <w:tcPr>
            <w:tcW w:w="3050" w:type="dxa"/>
            <w:vMerge w:val="restart"/>
            <w:vAlign w:val="center"/>
          </w:tcPr>
          <w:p w14:paraId="678A5905">
            <w:pPr>
              <w:pStyle w:val="3"/>
              <w:adjustRightInd w:val="0"/>
              <w:snapToGrid w:val="0"/>
              <w:spacing w:before="0" w:after="0" w:line="240" w:lineRule="auto"/>
              <w:ind w:left="-96" w:leftChars="-46" w:right="-86" w:rightChars="-41"/>
              <w:rPr>
                <w:rFonts w:ascii="仿宋_GB2312" w:hAnsi="仿宋_GB2312" w:eastAsia="仿宋_GB2312" w:cs="仿宋_GB2312"/>
                <w:b w:val="0"/>
                <w:color w:val="auto"/>
                <w:sz w:val="24"/>
                <w:highlight w:val="none"/>
              </w:rPr>
            </w:pPr>
            <w:r>
              <w:rPr>
                <w:rFonts w:hint="eastAsia" w:ascii="仿宋_GB2312" w:hAnsi="仿宋_GB2312" w:eastAsia="仿宋_GB2312" w:cs="仿宋_GB2312"/>
                <w:b w:val="0"/>
                <w:color w:val="auto"/>
                <w:sz w:val="24"/>
                <w:highlight w:val="none"/>
              </w:rPr>
              <w:t>审查标准</w:t>
            </w:r>
          </w:p>
        </w:tc>
        <w:tc>
          <w:tcPr>
            <w:tcW w:w="2154" w:type="dxa"/>
            <w:gridSpan w:val="3"/>
            <w:vAlign w:val="center"/>
          </w:tcPr>
          <w:p w14:paraId="570D79E4">
            <w:pPr>
              <w:pStyle w:val="3"/>
              <w:adjustRightInd w:val="0"/>
              <w:snapToGrid w:val="0"/>
              <w:spacing w:before="0" w:after="0" w:line="240" w:lineRule="auto"/>
              <w:ind w:left="-96" w:leftChars="-46" w:right="-86" w:rightChars="-41"/>
              <w:rPr>
                <w:rFonts w:ascii="仿宋_GB2312" w:hAnsi="仿宋_GB2312" w:eastAsia="仿宋_GB2312" w:cs="仿宋_GB2312"/>
                <w:b w:val="0"/>
                <w:color w:val="auto"/>
                <w:sz w:val="24"/>
                <w:highlight w:val="none"/>
              </w:rPr>
            </w:pPr>
            <w:r>
              <w:rPr>
                <w:rFonts w:hint="eastAsia" w:ascii="仿宋_GB2312" w:hAnsi="仿宋_GB2312" w:eastAsia="仿宋_GB2312" w:cs="仿宋_GB2312"/>
                <w:b w:val="0"/>
                <w:color w:val="auto"/>
                <w:sz w:val="24"/>
                <w:highlight w:val="none"/>
              </w:rPr>
              <w:t>投标人名称</w:t>
            </w:r>
          </w:p>
        </w:tc>
      </w:tr>
      <w:tr w14:paraId="34A0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89" w:type="dxa"/>
            <w:vMerge w:val="continue"/>
            <w:vAlign w:val="center"/>
          </w:tcPr>
          <w:p w14:paraId="3C5D6EAE">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3590" w:type="dxa"/>
            <w:vMerge w:val="continue"/>
            <w:vAlign w:val="center"/>
          </w:tcPr>
          <w:p w14:paraId="66A4EA50">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3050" w:type="dxa"/>
            <w:vMerge w:val="continue"/>
            <w:vAlign w:val="center"/>
          </w:tcPr>
          <w:p w14:paraId="60B6EEA9">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717" w:type="dxa"/>
            <w:vAlign w:val="center"/>
          </w:tcPr>
          <w:p w14:paraId="21B07664">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716" w:type="dxa"/>
            <w:vAlign w:val="center"/>
          </w:tcPr>
          <w:p w14:paraId="3DE06D21">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721" w:type="dxa"/>
            <w:vAlign w:val="center"/>
          </w:tcPr>
          <w:p w14:paraId="30067FD8">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43B35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489" w:type="dxa"/>
            <w:vAlign w:val="center"/>
          </w:tcPr>
          <w:p w14:paraId="00C31D9A">
            <w:pPr>
              <w:snapToGrid w:val="0"/>
              <w:jc w:val="center"/>
              <w:rPr>
                <w:rFonts w:ascii="仿宋_GB2312" w:hAnsi="仿宋" w:eastAsia="仿宋_GB2312"/>
                <w:color w:val="auto"/>
                <w:highlight w:val="none"/>
              </w:rPr>
            </w:pPr>
            <w:r>
              <w:rPr>
                <w:rFonts w:hint="eastAsia" w:ascii="仿宋_GB2312" w:hAnsi="仿宋" w:eastAsia="仿宋_GB2312"/>
                <w:color w:val="auto"/>
                <w:highlight w:val="none"/>
              </w:rPr>
              <w:t>1</w:t>
            </w:r>
          </w:p>
        </w:tc>
        <w:tc>
          <w:tcPr>
            <w:tcW w:w="3590" w:type="dxa"/>
            <w:vAlign w:val="center"/>
          </w:tcPr>
          <w:p w14:paraId="6A66BC90">
            <w:pPr>
              <w:snapToGrid w:val="0"/>
              <w:jc w:val="left"/>
              <w:rPr>
                <w:rFonts w:ascii="仿宋_GB2312" w:hAnsi="仿宋" w:eastAsia="仿宋_GB2312"/>
                <w:color w:val="auto"/>
                <w:highlight w:val="none"/>
              </w:rPr>
            </w:pPr>
            <w:r>
              <w:rPr>
                <w:rFonts w:hint="eastAsia" w:ascii="仿宋_GB2312" w:hAnsi="仿宋" w:eastAsia="仿宋_GB2312"/>
                <w:color w:val="auto"/>
                <w:highlight w:val="none"/>
              </w:rPr>
              <w:t>营业执照或事业单位法人证书或执业许可证等证明文件或自然人的身份证明</w:t>
            </w:r>
          </w:p>
        </w:tc>
        <w:tc>
          <w:tcPr>
            <w:tcW w:w="3050" w:type="dxa"/>
            <w:vAlign w:val="center"/>
          </w:tcPr>
          <w:p w14:paraId="50F836DA">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1.按要求提供</w:t>
            </w:r>
          </w:p>
          <w:p w14:paraId="22701591">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2.合法有效</w:t>
            </w:r>
          </w:p>
        </w:tc>
        <w:tc>
          <w:tcPr>
            <w:tcW w:w="717" w:type="dxa"/>
            <w:vAlign w:val="center"/>
          </w:tcPr>
          <w:p w14:paraId="6A61EDF5">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vAlign w:val="center"/>
          </w:tcPr>
          <w:p w14:paraId="467E9B3F">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vAlign w:val="center"/>
          </w:tcPr>
          <w:p w14:paraId="3CA00E95">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79AB9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489" w:type="dxa"/>
            <w:vAlign w:val="center"/>
          </w:tcPr>
          <w:p w14:paraId="3A83135C">
            <w:pPr>
              <w:widowControl/>
              <w:snapToGrid w:val="0"/>
              <w:jc w:val="center"/>
              <w:rPr>
                <w:rFonts w:ascii="仿宋_GB2312" w:hAnsi="仿宋" w:eastAsia="仿宋_GB2312"/>
                <w:color w:val="auto"/>
                <w:highlight w:val="none"/>
              </w:rPr>
            </w:pPr>
            <w:r>
              <w:rPr>
                <w:rFonts w:hint="eastAsia" w:ascii="仿宋_GB2312" w:hAnsi="仿宋" w:eastAsia="仿宋_GB2312"/>
                <w:color w:val="auto"/>
                <w:highlight w:val="none"/>
              </w:rPr>
              <w:t>2</w:t>
            </w:r>
          </w:p>
        </w:tc>
        <w:tc>
          <w:tcPr>
            <w:tcW w:w="3590" w:type="dxa"/>
            <w:vAlign w:val="center"/>
          </w:tcPr>
          <w:p w14:paraId="36073868">
            <w:pPr>
              <w:widowControl/>
              <w:snapToGrid w:val="0"/>
              <w:jc w:val="left"/>
              <w:rPr>
                <w:rFonts w:ascii="仿宋_GB2312" w:hAnsi="仿宋" w:eastAsia="仿宋_GB2312"/>
                <w:color w:val="auto"/>
                <w:highlight w:val="none"/>
              </w:rPr>
            </w:pPr>
            <w:r>
              <w:rPr>
                <w:rFonts w:hint="eastAsia" w:ascii="仿宋_GB2312" w:hAnsi="仿宋" w:eastAsia="仿宋_GB2312"/>
                <w:color w:val="auto"/>
                <w:highlight w:val="none"/>
              </w:rPr>
              <w:t>法定代表人（或非法人组织负责人）身份证明书</w:t>
            </w:r>
          </w:p>
        </w:tc>
        <w:tc>
          <w:tcPr>
            <w:tcW w:w="3050" w:type="dxa"/>
            <w:vAlign w:val="center"/>
          </w:tcPr>
          <w:p w14:paraId="4CCD0D3D">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1.按给定格式填写</w:t>
            </w:r>
          </w:p>
          <w:p w14:paraId="4C394D80">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2.按规定签章</w:t>
            </w:r>
          </w:p>
        </w:tc>
        <w:tc>
          <w:tcPr>
            <w:tcW w:w="717" w:type="dxa"/>
          </w:tcPr>
          <w:p w14:paraId="56C70438">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tcPr>
          <w:p w14:paraId="6B092086">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tcPr>
          <w:p w14:paraId="6A8E3920">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50996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489" w:type="dxa"/>
            <w:vAlign w:val="center"/>
          </w:tcPr>
          <w:p w14:paraId="17A2282F">
            <w:pPr>
              <w:widowControl/>
              <w:snapToGrid w:val="0"/>
              <w:jc w:val="center"/>
              <w:rPr>
                <w:rFonts w:ascii="仿宋_GB2312" w:hAnsi="仿宋" w:eastAsia="仿宋_GB2312"/>
                <w:color w:val="auto"/>
                <w:highlight w:val="none"/>
              </w:rPr>
            </w:pPr>
            <w:r>
              <w:rPr>
                <w:rFonts w:hint="eastAsia" w:ascii="仿宋_GB2312" w:hAnsi="仿宋" w:eastAsia="仿宋_GB2312"/>
                <w:color w:val="auto"/>
                <w:highlight w:val="none"/>
              </w:rPr>
              <w:t>3</w:t>
            </w:r>
          </w:p>
        </w:tc>
        <w:tc>
          <w:tcPr>
            <w:tcW w:w="3590" w:type="dxa"/>
            <w:vAlign w:val="center"/>
          </w:tcPr>
          <w:p w14:paraId="189FD370">
            <w:pPr>
              <w:widowControl/>
              <w:snapToGrid w:val="0"/>
              <w:jc w:val="left"/>
              <w:rPr>
                <w:rFonts w:ascii="仿宋_GB2312" w:hAnsi="仿宋" w:eastAsia="仿宋_GB2312"/>
                <w:color w:val="auto"/>
                <w:highlight w:val="none"/>
              </w:rPr>
            </w:pPr>
            <w:r>
              <w:rPr>
                <w:rFonts w:hint="eastAsia" w:ascii="仿宋_GB2312" w:hAnsi="仿宋" w:eastAsia="仿宋_GB2312"/>
                <w:color w:val="auto"/>
                <w:highlight w:val="none"/>
              </w:rPr>
              <w:t>法定代表人（或非法人组织负责人）授权委托书（授权委托人参加投标的须提供）</w:t>
            </w:r>
          </w:p>
        </w:tc>
        <w:tc>
          <w:tcPr>
            <w:tcW w:w="3050" w:type="dxa"/>
            <w:vAlign w:val="center"/>
          </w:tcPr>
          <w:p w14:paraId="526A6681">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1.按给定格式填写</w:t>
            </w:r>
          </w:p>
          <w:p w14:paraId="2CD0C987">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2.按规定签章</w:t>
            </w:r>
          </w:p>
        </w:tc>
        <w:tc>
          <w:tcPr>
            <w:tcW w:w="717" w:type="dxa"/>
          </w:tcPr>
          <w:p w14:paraId="56F03820">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tcPr>
          <w:p w14:paraId="5B60F2C8">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tcPr>
          <w:p w14:paraId="14F8AF55">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7C1C8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489" w:type="dxa"/>
            <w:vAlign w:val="center"/>
          </w:tcPr>
          <w:p w14:paraId="01B089F1">
            <w:pPr>
              <w:widowControl/>
              <w:snapToGrid w:val="0"/>
              <w:jc w:val="center"/>
              <w:rPr>
                <w:rFonts w:ascii="仿宋_GB2312" w:hAnsi="仿宋" w:eastAsia="仿宋_GB2312"/>
                <w:color w:val="auto"/>
                <w:highlight w:val="none"/>
              </w:rPr>
            </w:pPr>
            <w:r>
              <w:rPr>
                <w:rFonts w:hint="eastAsia" w:ascii="仿宋_GB2312" w:hAnsi="仿宋" w:eastAsia="仿宋_GB2312"/>
                <w:color w:val="auto"/>
                <w:highlight w:val="none"/>
              </w:rPr>
              <w:t>4</w:t>
            </w:r>
          </w:p>
        </w:tc>
        <w:tc>
          <w:tcPr>
            <w:tcW w:w="3590" w:type="dxa"/>
            <w:vAlign w:val="center"/>
          </w:tcPr>
          <w:p w14:paraId="2D4A994A">
            <w:pPr>
              <w:widowControl/>
              <w:snapToGrid w:val="0"/>
              <w:jc w:val="left"/>
              <w:rPr>
                <w:rFonts w:ascii="仿宋_GB2312" w:hAnsi="仿宋" w:eastAsia="仿宋_GB2312"/>
                <w:color w:val="auto"/>
                <w:highlight w:val="none"/>
              </w:rPr>
            </w:pPr>
            <w:r>
              <w:rPr>
                <w:rFonts w:hint="eastAsia" w:ascii="仿宋_GB2312" w:hAnsi="仿宋" w:eastAsia="仿宋_GB2312"/>
                <w:color w:val="auto"/>
                <w:highlight w:val="none"/>
              </w:rPr>
              <w:t>具有良好的商业信誉和健全的财务会计制度的承诺函</w:t>
            </w:r>
          </w:p>
        </w:tc>
        <w:tc>
          <w:tcPr>
            <w:tcW w:w="3050" w:type="dxa"/>
            <w:vAlign w:val="center"/>
          </w:tcPr>
          <w:p w14:paraId="6BE568B9">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1.信息完整</w:t>
            </w:r>
          </w:p>
          <w:p w14:paraId="2326CF41">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2.按规定签章</w:t>
            </w:r>
          </w:p>
        </w:tc>
        <w:tc>
          <w:tcPr>
            <w:tcW w:w="717" w:type="dxa"/>
          </w:tcPr>
          <w:p w14:paraId="4B1F755B">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tcPr>
          <w:p w14:paraId="7492E069">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tcPr>
          <w:p w14:paraId="2F959A91">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2F9D2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89" w:type="dxa"/>
            <w:vAlign w:val="center"/>
          </w:tcPr>
          <w:p w14:paraId="798DEFA6">
            <w:pPr>
              <w:widowControl/>
              <w:snapToGrid w:val="0"/>
              <w:jc w:val="center"/>
              <w:rPr>
                <w:rFonts w:ascii="仿宋_GB2312" w:hAnsi="仿宋" w:eastAsia="仿宋_GB2312"/>
                <w:color w:val="auto"/>
                <w:highlight w:val="none"/>
              </w:rPr>
            </w:pPr>
            <w:r>
              <w:rPr>
                <w:rFonts w:hint="eastAsia" w:ascii="仿宋_GB2312" w:hAnsi="仿宋" w:eastAsia="仿宋_GB2312"/>
                <w:color w:val="auto"/>
                <w:highlight w:val="none"/>
              </w:rPr>
              <w:t>5</w:t>
            </w:r>
          </w:p>
        </w:tc>
        <w:tc>
          <w:tcPr>
            <w:tcW w:w="3590" w:type="dxa"/>
            <w:vAlign w:val="center"/>
          </w:tcPr>
          <w:p w14:paraId="4C153E7D">
            <w:pPr>
              <w:widowControl/>
              <w:snapToGrid w:val="0"/>
              <w:jc w:val="left"/>
              <w:rPr>
                <w:rFonts w:ascii="仿宋_GB2312" w:hAnsi="仿宋" w:eastAsia="仿宋_GB2312"/>
                <w:color w:val="auto"/>
                <w:highlight w:val="none"/>
              </w:rPr>
            </w:pPr>
            <w:r>
              <w:rPr>
                <w:rFonts w:hint="eastAsia" w:ascii="仿宋_GB2312" w:hAnsi="仿宋" w:eastAsia="仿宋_GB2312"/>
                <w:color w:val="auto"/>
                <w:highlight w:val="none"/>
              </w:rPr>
              <w:t>开标时间前六个月内任一个月的依法缴纳税收的缴款凭据</w:t>
            </w:r>
            <w:r>
              <w:rPr>
                <w:rFonts w:hint="eastAsia" w:ascii="仿宋_GB2312" w:hAnsi="仿宋" w:eastAsia="仿宋_GB2312"/>
                <w:b/>
                <w:bCs/>
                <w:color w:val="auto"/>
                <w:highlight w:val="none"/>
              </w:rPr>
              <w:t>（增值税等）</w:t>
            </w:r>
            <w:r>
              <w:rPr>
                <w:rFonts w:hint="eastAsia" w:ascii="仿宋_GB2312" w:hAnsi="仿宋" w:eastAsia="仿宋_GB2312"/>
                <w:color w:val="auto"/>
                <w:highlight w:val="none"/>
              </w:rPr>
              <w:t>复印件</w:t>
            </w:r>
            <w:r>
              <w:rPr>
                <w:rFonts w:hint="eastAsia" w:ascii="仿宋_GB2312" w:hAnsi="仿宋" w:eastAsia="仿宋_GB2312"/>
                <w:color w:val="auto"/>
                <w:highlight w:val="none"/>
                <w:lang w:val="en-US" w:eastAsia="zh-CN"/>
              </w:rPr>
              <w:t>加盖公章</w:t>
            </w:r>
            <w:r>
              <w:rPr>
                <w:rFonts w:hint="eastAsia" w:ascii="仿宋_GB2312" w:hAnsi="仿宋" w:eastAsia="仿宋_GB2312"/>
                <w:color w:val="auto"/>
                <w:highlight w:val="none"/>
              </w:rPr>
              <w:t>（注：依法免税的供应商，应提供相关证明材料，包括相关法规要求原文及加盖单位公章的情况说明）</w:t>
            </w:r>
          </w:p>
        </w:tc>
        <w:tc>
          <w:tcPr>
            <w:tcW w:w="3050" w:type="dxa"/>
            <w:vAlign w:val="center"/>
          </w:tcPr>
          <w:p w14:paraId="6CEFD531">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1.按要求提供</w:t>
            </w:r>
          </w:p>
          <w:p w14:paraId="53BD6586">
            <w:pPr>
              <w:pStyle w:val="3"/>
              <w:adjustRightInd w:val="0"/>
              <w:snapToGrid w:val="0"/>
              <w:spacing w:before="0" w:after="0" w:line="240" w:lineRule="auto"/>
              <w:jc w:val="both"/>
              <w:rPr>
                <w:rFonts w:hint="eastAsia" w:ascii="仿宋_GB2312" w:hAnsi="仿宋" w:eastAsia="仿宋_GB2312"/>
                <w:b w:val="0"/>
                <w:color w:val="auto"/>
                <w:sz w:val="21"/>
                <w:highlight w:val="none"/>
              </w:rPr>
            </w:pPr>
            <w:r>
              <w:rPr>
                <w:rFonts w:hint="eastAsia" w:ascii="仿宋_GB2312" w:hAnsi="仿宋" w:eastAsia="仿宋_GB2312"/>
                <w:b w:val="0"/>
                <w:color w:val="auto"/>
                <w:sz w:val="21"/>
                <w:highlight w:val="none"/>
              </w:rPr>
              <w:t>2.合法有效</w:t>
            </w:r>
          </w:p>
          <w:p w14:paraId="0CD35147">
            <w:pPr>
              <w:pStyle w:val="3"/>
              <w:adjustRightInd w:val="0"/>
              <w:snapToGrid w:val="0"/>
              <w:spacing w:before="0" w:after="0" w:line="240" w:lineRule="auto"/>
              <w:jc w:val="both"/>
              <w:rPr>
                <w:rFonts w:hint="default" w:ascii="仿宋_GB2312" w:hAnsi="仿宋" w:eastAsia="仿宋_GB2312"/>
                <w:b w:val="0"/>
                <w:color w:val="auto"/>
                <w:sz w:val="21"/>
                <w:highlight w:val="none"/>
                <w:lang w:val="en-US" w:eastAsia="zh-CN"/>
              </w:rPr>
            </w:pPr>
            <w:r>
              <w:rPr>
                <w:rFonts w:hint="eastAsia" w:ascii="仿宋_GB2312" w:hAnsi="仿宋" w:eastAsia="仿宋_GB2312"/>
                <w:b w:val="0"/>
                <w:color w:val="auto"/>
                <w:sz w:val="21"/>
                <w:highlight w:val="none"/>
                <w:lang w:val="en-US" w:eastAsia="zh-CN"/>
              </w:rPr>
              <w:t>3.</w:t>
            </w:r>
            <w:r>
              <w:rPr>
                <w:rFonts w:hint="eastAsia" w:ascii="仿宋_GB2312" w:hAnsi="仿宋" w:eastAsia="仿宋_GB2312"/>
                <w:b w:val="0"/>
                <w:color w:val="auto"/>
                <w:sz w:val="21"/>
                <w:highlight w:val="none"/>
              </w:rPr>
              <w:t>按规定签章</w:t>
            </w:r>
          </w:p>
        </w:tc>
        <w:tc>
          <w:tcPr>
            <w:tcW w:w="717" w:type="dxa"/>
          </w:tcPr>
          <w:p w14:paraId="6E02B261">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tcPr>
          <w:p w14:paraId="07E5EEDC">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tcPr>
          <w:p w14:paraId="271F098A">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37020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489" w:type="dxa"/>
            <w:vAlign w:val="center"/>
          </w:tcPr>
          <w:p w14:paraId="0A71E69C">
            <w:pPr>
              <w:widowControl/>
              <w:snapToGrid w:val="0"/>
              <w:jc w:val="center"/>
              <w:rPr>
                <w:rFonts w:ascii="仿宋_GB2312" w:hAnsi="仿宋" w:eastAsia="仿宋_GB2312"/>
                <w:color w:val="auto"/>
                <w:highlight w:val="none"/>
              </w:rPr>
            </w:pPr>
            <w:r>
              <w:rPr>
                <w:rFonts w:hint="eastAsia" w:ascii="仿宋_GB2312" w:hAnsi="仿宋" w:eastAsia="仿宋_GB2312"/>
                <w:color w:val="auto"/>
                <w:highlight w:val="none"/>
              </w:rPr>
              <w:t>6</w:t>
            </w:r>
          </w:p>
        </w:tc>
        <w:tc>
          <w:tcPr>
            <w:tcW w:w="3590" w:type="dxa"/>
            <w:vAlign w:val="center"/>
          </w:tcPr>
          <w:p w14:paraId="4A50D45D">
            <w:pPr>
              <w:widowControl/>
              <w:snapToGrid w:val="0"/>
              <w:jc w:val="left"/>
              <w:rPr>
                <w:rFonts w:ascii="仿宋_GB2312" w:hAnsi="仿宋" w:eastAsia="仿宋_GB2312"/>
                <w:color w:val="auto"/>
                <w:highlight w:val="none"/>
              </w:rPr>
            </w:pPr>
            <w:r>
              <w:rPr>
                <w:rFonts w:hint="eastAsia" w:ascii="仿宋_GB2312" w:hAnsi="仿宋" w:eastAsia="仿宋_GB2312"/>
                <w:color w:val="auto"/>
                <w:highlight w:val="none"/>
              </w:rPr>
              <w:t>开标时间前六个月内任一个月的依法缴纳社会保障资金的缴款凭据</w:t>
            </w:r>
            <w:r>
              <w:rPr>
                <w:rFonts w:hint="eastAsia" w:ascii="仿宋_GB2312" w:hAnsi="仿宋" w:eastAsia="仿宋_GB2312"/>
                <w:color w:val="auto"/>
                <w:highlight w:val="none"/>
                <w:lang w:val="en-US" w:eastAsia="zh-CN"/>
              </w:rPr>
              <w:t>复印件加盖公章</w:t>
            </w:r>
            <w:r>
              <w:rPr>
                <w:rFonts w:hint="eastAsia" w:ascii="仿宋_GB2312" w:hAnsi="仿宋" w:eastAsia="仿宋_GB2312"/>
                <w:color w:val="auto"/>
                <w:highlight w:val="none"/>
              </w:rPr>
              <w:t>（注：依法不需要缴纳社会保障资金的投标人，应提供相关证明材料，包括相关法规要求原文及加盖单位公章的情况说明）</w:t>
            </w:r>
          </w:p>
        </w:tc>
        <w:tc>
          <w:tcPr>
            <w:tcW w:w="3050" w:type="dxa"/>
            <w:vAlign w:val="center"/>
          </w:tcPr>
          <w:p w14:paraId="78193F59">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1.按要求提供</w:t>
            </w:r>
          </w:p>
          <w:p w14:paraId="5672A91E">
            <w:pPr>
              <w:pStyle w:val="3"/>
              <w:adjustRightInd w:val="0"/>
              <w:snapToGrid w:val="0"/>
              <w:spacing w:before="0" w:after="0" w:line="240" w:lineRule="auto"/>
              <w:jc w:val="both"/>
              <w:rPr>
                <w:rFonts w:hint="eastAsia" w:ascii="仿宋_GB2312" w:hAnsi="仿宋" w:eastAsia="仿宋_GB2312"/>
                <w:b w:val="0"/>
                <w:color w:val="auto"/>
                <w:sz w:val="21"/>
                <w:highlight w:val="none"/>
              </w:rPr>
            </w:pPr>
            <w:r>
              <w:rPr>
                <w:rFonts w:hint="eastAsia" w:ascii="仿宋_GB2312" w:hAnsi="仿宋" w:eastAsia="仿宋_GB2312"/>
                <w:b w:val="0"/>
                <w:color w:val="auto"/>
                <w:sz w:val="21"/>
                <w:highlight w:val="none"/>
              </w:rPr>
              <w:t>2.合法有效</w:t>
            </w:r>
          </w:p>
          <w:p w14:paraId="0FF4D6F9">
            <w:pPr>
              <w:pStyle w:val="3"/>
              <w:adjustRightInd w:val="0"/>
              <w:snapToGrid w:val="0"/>
              <w:spacing w:before="0" w:after="0" w:line="240" w:lineRule="auto"/>
              <w:jc w:val="both"/>
              <w:rPr>
                <w:rFonts w:hint="default" w:ascii="仿宋_GB2312" w:hAnsi="仿宋" w:eastAsia="仿宋_GB2312"/>
                <w:b w:val="0"/>
                <w:color w:val="auto"/>
                <w:sz w:val="21"/>
                <w:highlight w:val="none"/>
                <w:lang w:val="en-US" w:eastAsia="zh-CN"/>
              </w:rPr>
            </w:pPr>
            <w:r>
              <w:rPr>
                <w:rFonts w:hint="eastAsia" w:ascii="仿宋_GB2312" w:hAnsi="仿宋" w:eastAsia="仿宋_GB2312"/>
                <w:b w:val="0"/>
                <w:color w:val="auto"/>
                <w:sz w:val="21"/>
                <w:highlight w:val="none"/>
                <w:lang w:val="en-US" w:eastAsia="zh-CN"/>
              </w:rPr>
              <w:t>3.</w:t>
            </w:r>
            <w:r>
              <w:rPr>
                <w:rFonts w:hint="eastAsia" w:ascii="仿宋_GB2312" w:hAnsi="仿宋" w:eastAsia="仿宋_GB2312"/>
                <w:b w:val="0"/>
                <w:color w:val="auto"/>
                <w:sz w:val="21"/>
                <w:highlight w:val="none"/>
              </w:rPr>
              <w:t>按规定签章</w:t>
            </w:r>
          </w:p>
        </w:tc>
        <w:tc>
          <w:tcPr>
            <w:tcW w:w="717" w:type="dxa"/>
          </w:tcPr>
          <w:p w14:paraId="34EE8A0D">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tcPr>
          <w:p w14:paraId="0CF955A2">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tcPr>
          <w:p w14:paraId="7E27751A">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424F2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489" w:type="dxa"/>
            <w:vAlign w:val="center"/>
          </w:tcPr>
          <w:p w14:paraId="6BA439C8">
            <w:pPr>
              <w:snapToGrid w:val="0"/>
              <w:jc w:val="center"/>
              <w:rPr>
                <w:rFonts w:ascii="仿宋_GB2312" w:hAnsi="仿宋" w:eastAsia="仿宋_GB2312"/>
                <w:color w:val="auto"/>
                <w:highlight w:val="none"/>
              </w:rPr>
            </w:pPr>
            <w:r>
              <w:rPr>
                <w:rFonts w:hint="eastAsia" w:ascii="仿宋_GB2312" w:hAnsi="仿宋" w:eastAsia="仿宋_GB2312"/>
                <w:color w:val="auto"/>
                <w:highlight w:val="none"/>
              </w:rPr>
              <w:t>7</w:t>
            </w:r>
          </w:p>
        </w:tc>
        <w:tc>
          <w:tcPr>
            <w:tcW w:w="3590" w:type="dxa"/>
            <w:vAlign w:val="center"/>
          </w:tcPr>
          <w:p w14:paraId="4E504B0F">
            <w:pPr>
              <w:snapToGrid w:val="0"/>
              <w:jc w:val="left"/>
              <w:rPr>
                <w:rFonts w:ascii="仿宋_GB2312" w:hAnsi="仿宋" w:eastAsia="仿宋_GB2312"/>
                <w:color w:val="auto"/>
                <w:highlight w:val="none"/>
              </w:rPr>
            </w:pPr>
            <w:r>
              <w:rPr>
                <w:rFonts w:hint="eastAsia" w:ascii="仿宋_GB2312" w:hAnsi="仿宋" w:eastAsia="仿宋_GB2312"/>
                <w:color w:val="auto"/>
                <w:highlight w:val="none"/>
              </w:rPr>
              <w:t>具备履行合同所必需的设备和专业技术能力声明函</w:t>
            </w:r>
          </w:p>
        </w:tc>
        <w:tc>
          <w:tcPr>
            <w:tcW w:w="3050" w:type="dxa"/>
            <w:vAlign w:val="center"/>
          </w:tcPr>
          <w:p w14:paraId="6128E51F">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1.信息完整</w:t>
            </w:r>
          </w:p>
          <w:p w14:paraId="70E77A89">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2.按规定签章</w:t>
            </w:r>
          </w:p>
        </w:tc>
        <w:tc>
          <w:tcPr>
            <w:tcW w:w="717" w:type="dxa"/>
          </w:tcPr>
          <w:p w14:paraId="50690850">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tcPr>
          <w:p w14:paraId="7EED5785">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tcPr>
          <w:p w14:paraId="66DED41B">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4A64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89" w:type="dxa"/>
            <w:vAlign w:val="center"/>
          </w:tcPr>
          <w:p w14:paraId="33B0C223">
            <w:pPr>
              <w:snapToGrid w:val="0"/>
              <w:jc w:val="center"/>
              <w:rPr>
                <w:rFonts w:ascii="仿宋_GB2312" w:hAnsi="仿宋" w:eastAsia="仿宋_GB2312"/>
                <w:color w:val="auto"/>
                <w:highlight w:val="none"/>
              </w:rPr>
            </w:pPr>
            <w:r>
              <w:rPr>
                <w:rFonts w:hint="eastAsia" w:ascii="仿宋_GB2312" w:hAnsi="仿宋" w:eastAsia="仿宋_GB2312"/>
                <w:color w:val="auto"/>
                <w:highlight w:val="none"/>
              </w:rPr>
              <w:t>8</w:t>
            </w:r>
          </w:p>
        </w:tc>
        <w:tc>
          <w:tcPr>
            <w:tcW w:w="3590" w:type="dxa"/>
            <w:vAlign w:val="center"/>
          </w:tcPr>
          <w:p w14:paraId="7997680A">
            <w:pPr>
              <w:snapToGrid w:val="0"/>
              <w:jc w:val="left"/>
              <w:rPr>
                <w:rFonts w:ascii="仿宋_GB2312" w:hAnsi="仿宋" w:eastAsia="仿宋_GB2312"/>
                <w:color w:val="auto"/>
                <w:highlight w:val="none"/>
              </w:rPr>
            </w:pPr>
            <w:r>
              <w:rPr>
                <w:rFonts w:hint="eastAsia" w:ascii="仿宋_GB2312" w:hAnsi="仿宋" w:eastAsia="仿宋_GB2312"/>
                <w:color w:val="auto"/>
                <w:highlight w:val="none"/>
              </w:rPr>
              <w:t>参加政府采购活动前3年内在经营活动中没有重大违法记录的书面声明</w:t>
            </w:r>
          </w:p>
        </w:tc>
        <w:tc>
          <w:tcPr>
            <w:tcW w:w="3050" w:type="dxa"/>
            <w:vAlign w:val="center"/>
          </w:tcPr>
          <w:p w14:paraId="3960F44C">
            <w:pPr>
              <w:jc w:val="left"/>
              <w:rPr>
                <w:rFonts w:ascii="仿宋_GB2312" w:hAnsi="仿宋" w:eastAsia="仿宋_GB2312"/>
                <w:color w:val="auto"/>
                <w:highlight w:val="none"/>
              </w:rPr>
            </w:pPr>
            <w:r>
              <w:rPr>
                <w:rFonts w:hint="eastAsia" w:ascii="仿宋_GB2312" w:hAnsi="仿宋" w:eastAsia="仿宋_GB2312"/>
                <w:color w:val="auto"/>
                <w:highlight w:val="none"/>
              </w:rPr>
              <w:t>1.按给定格式填写</w:t>
            </w:r>
          </w:p>
          <w:p w14:paraId="45667BB8">
            <w:pPr>
              <w:jc w:val="left"/>
              <w:rPr>
                <w:rFonts w:ascii="仿宋_GB2312" w:hAnsi="仿宋" w:eastAsia="仿宋_GB2312"/>
                <w:color w:val="auto"/>
                <w:highlight w:val="none"/>
              </w:rPr>
            </w:pPr>
            <w:r>
              <w:rPr>
                <w:rFonts w:hint="eastAsia" w:ascii="仿宋_GB2312" w:hAnsi="仿宋" w:eastAsia="仿宋_GB2312"/>
                <w:color w:val="auto"/>
                <w:highlight w:val="none"/>
              </w:rPr>
              <w:t>2.按规定签章</w:t>
            </w:r>
          </w:p>
        </w:tc>
        <w:tc>
          <w:tcPr>
            <w:tcW w:w="717" w:type="dxa"/>
          </w:tcPr>
          <w:p w14:paraId="6C09D00C">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tcPr>
          <w:p w14:paraId="1BFE8F2C">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tcPr>
          <w:p w14:paraId="5A576FBB">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777E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489" w:type="dxa"/>
            <w:vAlign w:val="center"/>
          </w:tcPr>
          <w:p w14:paraId="2E8D4C8B">
            <w:pPr>
              <w:snapToGrid w:val="0"/>
              <w:jc w:val="center"/>
              <w:rPr>
                <w:rFonts w:hint="eastAsia" w:ascii="仿宋_GB2312" w:hAnsi="仿宋" w:eastAsia="仿宋_GB2312"/>
                <w:color w:val="auto"/>
                <w:highlight w:val="none"/>
                <w:lang w:val="en-US" w:eastAsia="zh-CN"/>
              </w:rPr>
            </w:pPr>
            <w:r>
              <w:rPr>
                <w:rFonts w:hint="eastAsia" w:ascii="仿宋_GB2312" w:hAnsi="仿宋" w:eastAsia="仿宋_GB2312"/>
                <w:color w:val="auto"/>
                <w:highlight w:val="none"/>
                <w:lang w:val="en-US" w:eastAsia="zh-CN"/>
              </w:rPr>
              <w:t>9</w:t>
            </w:r>
          </w:p>
        </w:tc>
        <w:tc>
          <w:tcPr>
            <w:tcW w:w="3590" w:type="dxa"/>
            <w:vAlign w:val="center"/>
          </w:tcPr>
          <w:p w14:paraId="172017D7">
            <w:pPr>
              <w:snapToGrid w:val="0"/>
              <w:jc w:val="left"/>
              <w:rPr>
                <w:rFonts w:hint="eastAsia" w:ascii="仿宋_GB2312" w:hAnsi="仿宋" w:eastAsia="仿宋_GB2312"/>
                <w:color w:val="auto"/>
                <w:highlight w:val="none"/>
              </w:rPr>
            </w:pPr>
            <w:r>
              <w:rPr>
                <w:rFonts w:hint="eastAsia" w:ascii="仿宋_GB2312" w:hAnsi="仿宋" w:eastAsia="仿宋_GB2312"/>
                <w:color w:val="auto"/>
                <w:highlight w:val="none"/>
              </w:rPr>
              <w:t>信用记录(采购人或采购代理机构将按照招标文件规定的审查期间内进行查询)</w:t>
            </w:r>
          </w:p>
        </w:tc>
        <w:tc>
          <w:tcPr>
            <w:tcW w:w="3050" w:type="dxa"/>
            <w:vAlign w:val="center"/>
          </w:tcPr>
          <w:p w14:paraId="7EEE18E1">
            <w:pPr>
              <w:pStyle w:val="3"/>
              <w:adjustRightInd w:val="0"/>
              <w:snapToGrid w:val="0"/>
              <w:spacing w:before="0" w:after="0" w:line="240" w:lineRule="auto"/>
              <w:jc w:val="both"/>
              <w:rPr>
                <w:rFonts w:hint="eastAsia" w:ascii="仿宋_GB2312" w:hAnsi="仿宋" w:eastAsia="仿宋_GB2312"/>
                <w:color w:val="auto"/>
                <w:highlight w:val="none"/>
              </w:rPr>
            </w:pPr>
            <w:r>
              <w:rPr>
                <w:rFonts w:hint="eastAsia" w:ascii="仿宋_GB2312" w:hAnsi="仿宋" w:eastAsia="仿宋_GB2312"/>
                <w:b w:val="0"/>
                <w:color w:val="auto"/>
                <w:sz w:val="21"/>
                <w:highlight w:val="none"/>
              </w:rPr>
              <w:t>无投标须知 22.2.1 所述的不良记录</w:t>
            </w:r>
          </w:p>
        </w:tc>
        <w:tc>
          <w:tcPr>
            <w:tcW w:w="717" w:type="dxa"/>
          </w:tcPr>
          <w:p w14:paraId="43884724">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16" w:type="dxa"/>
          </w:tcPr>
          <w:p w14:paraId="44BC1C94">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c>
          <w:tcPr>
            <w:tcW w:w="721" w:type="dxa"/>
          </w:tcPr>
          <w:p w14:paraId="20160DCE">
            <w:pPr>
              <w:pStyle w:val="3"/>
              <w:adjustRightInd w:val="0"/>
              <w:snapToGrid w:val="0"/>
              <w:spacing w:before="0" w:after="0" w:line="240" w:lineRule="auto"/>
              <w:rPr>
                <w:rFonts w:ascii="仿宋_GB2312" w:hAnsi="仿宋_GB2312" w:eastAsia="仿宋_GB2312" w:cs="仿宋_GB2312"/>
                <w:color w:val="auto"/>
                <w:sz w:val="21"/>
                <w:szCs w:val="21"/>
                <w:highlight w:val="none"/>
              </w:rPr>
            </w:pPr>
          </w:p>
        </w:tc>
      </w:tr>
      <w:tr w14:paraId="52F19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129" w:type="dxa"/>
            <w:gridSpan w:val="3"/>
            <w:vAlign w:val="center"/>
          </w:tcPr>
          <w:p w14:paraId="5C4F2FC8">
            <w:pPr>
              <w:pStyle w:val="3"/>
              <w:adjustRightInd w:val="0"/>
              <w:snapToGrid w:val="0"/>
              <w:spacing w:before="0" w:after="0" w:line="24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  论</w:t>
            </w:r>
          </w:p>
        </w:tc>
        <w:tc>
          <w:tcPr>
            <w:tcW w:w="717" w:type="dxa"/>
          </w:tcPr>
          <w:p w14:paraId="01298E84">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716" w:type="dxa"/>
          </w:tcPr>
          <w:p w14:paraId="75A9982F">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721" w:type="dxa"/>
          </w:tcPr>
          <w:p w14:paraId="3B122E44">
            <w:pPr>
              <w:pStyle w:val="3"/>
              <w:adjustRightInd w:val="0"/>
              <w:snapToGrid w:val="0"/>
              <w:spacing w:before="0" w:after="0" w:line="240" w:lineRule="auto"/>
              <w:rPr>
                <w:rFonts w:ascii="仿宋_GB2312" w:hAnsi="仿宋_GB2312" w:eastAsia="仿宋_GB2312" w:cs="仿宋_GB2312"/>
                <w:color w:val="auto"/>
                <w:sz w:val="24"/>
                <w:highlight w:val="none"/>
              </w:rPr>
            </w:pPr>
          </w:p>
        </w:tc>
      </w:tr>
    </w:tbl>
    <w:p w14:paraId="0730183E">
      <w:pPr>
        <w:snapToGrid w:val="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填表说明：1.每项内容审查合格，在表中填写“√”；不合格填写“×”；</w:t>
      </w:r>
    </w:p>
    <w:p w14:paraId="14A7D4E4">
      <w:pPr>
        <w:snapToGrid w:val="0"/>
        <w:rPr>
          <w:rFonts w:ascii="仿宋_GB2312" w:hAnsi="仿宋" w:eastAsia="仿宋_GB2312" w:cs="仿宋_GB2312"/>
          <w:color w:val="auto"/>
          <w:highlight w:val="none"/>
        </w:rPr>
      </w:pPr>
      <w:r>
        <w:rPr>
          <w:rFonts w:hint="eastAsia" w:ascii="仿宋_GB2312" w:hAnsi="仿宋" w:eastAsia="仿宋_GB2312" w:cs="仿宋_GB2312"/>
          <w:color w:val="auto"/>
          <w:sz w:val="24"/>
          <w:highlight w:val="none"/>
        </w:rPr>
        <w:t xml:space="preserve">          2.审查结论填写“通过”或“不通过”。</w:t>
      </w:r>
    </w:p>
    <w:p w14:paraId="7EE864D0">
      <w:pPr>
        <w:pStyle w:val="21"/>
        <w:keepNext w:val="0"/>
        <w:keepLines w:val="0"/>
        <w:pageBreakBefore w:val="0"/>
        <w:widowControl w:val="0"/>
        <w:kinsoku/>
        <w:wordWrap/>
        <w:overflowPunct/>
        <w:topLinePunct w:val="0"/>
        <w:autoSpaceDE/>
        <w:autoSpaceDN/>
        <w:bidi w:val="0"/>
        <w:adjustRightInd/>
        <w:snapToGrid w:val="0"/>
        <w:spacing w:before="320" w:beforeLines="100" w:beforeAutospacing="0" w:after="0" w:afterAutospacing="0" w:line="480" w:lineRule="auto"/>
        <w:jc w:val="both"/>
        <w:textAlignment w:val="auto"/>
        <w:rPr>
          <w:rFonts w:hint="eastAsia" w:ascii="仿宋_GB2312" w:hAnsi="仿宋" w:eastAsia="仿宋_GB2312" w:cs="仿宋_GB2312"/>
          <w:color w:val="auto"/>
          <w:highlight w:val="none"/>
        </w:rPr>
      </w:pPr>
      <w:r>
        <w:rPr>
          <w:rFonts w:hint="eastAsia" w:ascii="仿宋_GB2312" w:hAnsi="仿宋" w:eastAsia="仿宋_GB2312" w:cs="仿宋_GB2312"/>
          <w:color w:val="auto"/>
          <w:highlight w:val="none"/>
        </w:rPr>
        <w:t>审查人签字：</w:t>
      </w:r>
    </w:p>
    <w:p w14:paraId="3CBDF46B">
      <w:pPr>
        <w:pStyle w:val="21"/>
        <w:widowControl w:val="0"/>
        <w:snapToGrid w:val="0"/>
        <w:spacing w:before="0" w:beforeAutospacing="0" w:after="0" w:afterAutospacing="0" w:line="480" w:lineRule="auto"/>
        <w:jc w:val="both"/>
        <w:rPr>
          <w:rFonts w:ascii="仿宋_GB2312" w:hAnsi="仿宋" w:eastAsia="仿宋_GB2312" w:cs="仿宋_GB2312"/>
          <w:bCs/>
          <w:color w:val="auto"/>
          <w:highlight w:val="none"/>
        </w:rPr>
      </w:pPr>
      <w:r>
        <w:rPr>
          <w:rFonts w:hint="eastAsia" w:ascii="仿宋_GB2312" w:hAnsi="仿宋" w:eastAsia="仿宋_GB2312" w:cs="仿宋_GB2312"/>
          <w:bCs/>
          <w:color w:val="auto"/>
          <w:highlight w:val="none"/>
        </w:rPr>
        <w:t>日      期：</w:t>
      </w:r>
    </w:p>
    <w:p w14:paraId="2D12A891">
      <w:pPr>
        <w:pStyle w:val="3"/>
        <w:adjustRightInd w:val="0"/>
        <w:snapToGrid w:val="0"/>
        <w:spacing w:before="0" w:after="0" w:line="240" w:lineRule="auto"/>
        <w:jc w:val="left"/>
        <w:rPr>
          <w:rFonts w:ascii="仿宋_GB2312" w:hAnsi="仿宋" w:eastAsia="仿宋_GB2312" w:cs="仿宋_GB2312"/>
          <w:color w:val="auto"/>
          <w:szCs w:val="28"/>
          <w:highlight w:val="none"/>
        </w:rPr>
        <w:sectPr>
          <w:pgSz w:w="11906" w:h="16838"/>
          <w:pgMar w:top="1468" w:right="1803" w:bottom="1167" w:left="1803" w:header="851" w:footer="899" w:gutter="0"/>
          <w:pgBorders>
            <w:top w:val="none" w:sz="0" w:space="0"/>
            <w:left w:val="none" w:sz="0" w:space="0"/>
            <w:bottom w:val="none" w:sz="0" w:space="0"/>
            <w:right w:val="none" w:sz="0" w:space="0"/>
          </w:pgBorders>
          <w:cols w:space="720" w:num="1"/>
          <w:docGrid w:type="linesAndChars" w:linePitch="319" w:charSpace="0"/>
        </w:sectPr>
      </w:pPr>
      <w:bookmarkStart w:id="148" w:name="_Toc11558_WPSOffice_Level2"/>
    </w:p>
    <w:p w14:paraId="20293CA8">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s="仿宋_GB2312"/>
          <w:color w:val="auto"/>
          <w:szCs w:val="28"/>
          <w:highlight w:val="none"/>
        </w:rPr>
        <w:t>附件2</w:t>
      </w:r>
    </w:p>
    <w:p w14:paraId="150FB5BF">
      <w:pPr>
        <w:jc w:val="center"/>
        <w:rPr>
          <w:rFonts w:ascii="方正小标宋简体" w:hAnsi="仿宋" w:eastAsia="方正小标宋简体" w:cs="仿宋_GB2312"/>
          <w:color w:val="auto"/>
          <w:sz w:val="32"/>
          <w:szCs w:val="32"/>
          <w:highlight w:val="none"/>
        </w:rPr>
      </w:pPr>
      <w:r>
        <w:rPr>
          <w:rFonts w:hint="eastAsia" w:ascii="方正小标宋简体" w:hAnsi="仿宋" w:eastAsia="方正小标宋简体" w:cs="仿宋_GB2312"/>
          <w:color w:val="auto"/>
          <w:sz w:val="32"/>
          <w:szCs w:val="32"/>
          <w:highlight w:val="none"/>
        </w:rPr>
        <w:t>符合性审查表</w:t>
      </w:r>
      <w:bookmarkEnd w:id="148"/>
    </w:p>
    <w:tbl>
      <w:tblPr>
        <w:tblStyle w:val="25"/>
        <w:tblW w:w="90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2679"/>
        <w:gridCol w:w="3201"/>
        <w:gridCol w:w="867"/>
        <w:gridCol w:w="817"/>
        <w:gridCol w:w="854"/>
      </w:tblGrid>
      <w:tr w14:paraId="6D77B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1" w:hRule="atLeast"/>
          <w:jc w:val="center"/>
        </w:trPr>
        <w:tc>
          <w:tcPr>
            <w:tcW w:w="664" w:type="dxa"/>
            <w:vMerge w:val="restart"/>
            <w:vAlign w:val="center"/>
          </w:tcPr>
          <w:p w14:paraId="4C46CFC5">
            <w:pPr>
              <w:ind w:left="-84" w:leftChars="-40" w:right="-75" w:rightChars="-36"/>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序号</w:t>
            </w:r>
          </w:p>
        </w:tc>
        <w:tc>
          <w:tcPr>
            <w:tcW w:w="2679" w:type="dxa"/>
            <w:vMerge w:val="restart"/>
            <w:vAlign w:val="center"/>
          </w:tcPr>
          <w:p w14:paraId="360B8AAC">
            <w:pPr>
              <w:ind w:left="-84" w:leftChars="-40" w:right="-75" w:rightChars="-36"/>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审查项目</w:t>
            </w:r>
          </w:p>
        </w:tc>
        <w:tc>
          <w:tcPr>
            <w:tcW w:w="3201" w:type="dxa"/>
            <w:vMerge w:val="restart"/>
            <w:vAlign w:val="center"/>
          </w:tcPr>
          <w:p w14:paraId="77141778">
            <w:pPr>
              <w:ind w:left="-84" w:leftChars="-40" w:right="-75" w:rightChars="-36"/>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审查标准</w:t>
            </w:r>
          </w:p>
        </w:tc>
        <w:tc>
          <w:tcPr>
            <w:tcW w:w="2538" w:type="dxa"/>
            <w:gridSpan w:val="3"/>
            <w:vAlign w:val="center"/>
          </w:tcPr>
          <w:p w14:paraId="7E1C863C">
            <w:pPr>
              <w:ind w:left="-84" w:leftChars="-40" w:right="-75" w:rightChars="-36"/>
              <w:jc w:val="center"/>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投标人名称</w:t>
            </w:r>
          </w:p>
        </w:tc>
      </w:tr>
      <w:tr w14:paraId="2CFF2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64" w:type="dxa"/>
            <w:vMerge w:val="continue"/>
            <w:vAlign w:val="center"/>
          </w:tcPr>
          <w:p w14:paraId="0E7BC386">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2679" w:type="dxa"/>
            <w:vMerge w:val="continue"/>
            <w:vAlign w:val="center"/>
          </w:tcPr>
          <w:p w14:paraId="204C61D5">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3201" w:type="dxa"/>
            <w:vMerge w:val="continue"/>
            <w:vAlign w:val="center"/>
          </w:tcPr>
          <w:p w14:paraId="21AC58CC">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67" w:type="dxa"/>
            <w:vAlign w:val="center"/>
          </w:tcPr>
          <w:p w14:paraId="25F0DB69">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vAlign w:val="center"/>
          </w:tcPr>
          <w:p w14:paraId="0938DEDF">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vAlign w:val="center"/>
          </w:tcPr>
          <w:p w14:paraId="34ABA315">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6A1FD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64" w:type="dxa"/>
            <w:vAlign w:val="center"/>
          </w:tcPr>
          <w:p w14:paraId="59A46977">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1</w:t>
            </w:r>
          </w:p>
        </w:tc>
        <w:tc>
          <w:tcPr>
            <w:tcW w:w="2679" w:type="dxa"/>
            <w:vAlign w:val="center"/>
          </w:tcPr>
          <w:p w14:paraId="0B51A772">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投标函</w:t>
            </w:r>
          </w:p>
        </w:tc>
        <w:tc>
          <w:tcPr>
            <w:tcW w:w="3201" w:type="dxa"/>
            <w:vAlign w:val="center"/>
          </w:tcPr>
          <w:p w14:paraId="743F70B0">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6B128615">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491C0316">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867" w:type="dxa"/>
            <w:vAlign w:val="center"/>
          </w:tcPr>
          <w:p w14:paraId="546665CD">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vAlign w:val="center"/>
          </w:tcPr>
          <w:p w14:paraId="36D4D691">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vAlign w:val="center"/>
          </w:tcPr>
          <w:p w14:paraId="1ABFFC2A">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70EE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664" w:type="dxa"/>
            <w:vAlign w:val="center"/>
          </w:tcPr>
          <w:p w14:paraId="7DF89F2A">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2</w:t>
            </w:r>
          </w:p>
        </w:tc>
        <w:tc>
          <w:tcPr>
            <w:tcW w:w="2679" w:type="dxa"/>
            <w:vAlign w:val="center"/>
          </w:tcPr>
          <w:p w14:paraId="459CC5D6">
            <w:pPr>
              <w:rPr>
                <w:rFonts w:hint="eastAsia" w:ascii="仿宋_GB2312" w:hAnsi="仿宋_GB2312" w:eastAsia="仿宋_GB2312" w:cs="仿宋_GB2312"/>
                <w:color w:val="auto"/>
                <w:kern w:val="0"/>
                <w:szCs w:val="21"/>
                <w:highlight w:val="none"/>
                <w:lang w:val="en-US" w:eastAsia="zh-CN"/>
              </w:rPr>
            </w:pPr>
            <w:r>
              <w:rPr>
                <w:rFonts w:hint="eastAsia" w:ascii="仿宋_GB2312" w:hAnsi="仿宋_GB2312" w:eastAsia="仿宋_GB2312" w:cs="仿宋_GB2312"/>
                <w:color w:val="auto"/>
                <w:kern w:val="0"/>
                <w:szCs w:val="21"/>
                <w:highlight w:val="none"/>
              </w:rPr>
              <w:t>递交投标保证金证明</w:t>
            </w:r>
            <w:r>
              <w:rPr>
                <w:rFonts w:hint="eastAsia" w:ascii="仿宋_GB2312" w:hAnsi="仿宋_GB2312" w:eastAsia="仿宋_GB2312" w:cs="仿宋_GB2312"/>
                <w:color w:val="auto"/>
                <w:kern w:val="0"/>
                <w:szCs w:val="21"/>
                <w:highlight w:val="none"/>
                <w:lang w:val="en-US" w:eastAsia="zh-CN"/>
              </w:rPr>
              <w:t>材料</w:t>
            </w:r>
          </w:p>
        </w:tc>
        <w:tc>
          <w:tcPr>
            <w:tcW w:w="3201" w:type="dxa"/>
            <w:vAlign w:val="center"/>
          </w:tcPr>
          <w:p w14:paraId="584B75C6">
            <w:pPr>
              <w:pStyle w:val="3"/>
              <w:adjustRightInd w:val="0"/>
              <w:snapToGrid w:val="0"/>
              <w:spacing w:before="0" w:after="0" w:line="240" w:lineRule="auto"/>
              <w:jc w:val="both"/>
              <w:rPr>
                <w:rFonts w:ascii="仿宋_GB2312" w:hAnsi="仿宋" w:eastAsia="仿宋_GB2312"/>
                <w:b w:val="0"/>
                <w:color w:val="auto"/>
                <w:sz w:val="21"/>
                <w:highlight w:val="none"/>
              </w:rPr>
            </w:pPr>
            <w:r>
              <w:rPr>
                <w:rFonts w:hint="eastAsia" w:ascii="仿宋_GB2312" w:hAnsi="仿宋" w:eastAsia="仿宋_GB2312"/>
                <w:b w:val="0"/>
                <w:color w:val="auto"/>
                <w:sz w:val="21"/>
                <w:highlight w:val="none"/>
              </w:rPr>
              <w:t>1.按要求提供</w:t>
            </w:r>
          </w:p>
          <w:p w14:paraId="6D565F77">
            <w:pPr>
              <w:rPr>
                <w:rFonts w:ascii="仿宋_GB2312" w:hAnsi="仿宋_GB2312" w:eastAsia="仿宋_GB2312" w:cs="仿宋_GB2312"/>
                <w:b/>
                <w:color w:val="auto"/>
                <w:szCs w:val="21"/>
                <w:highlight w:val="none"/>
              </w:rPr>
            </w:pPr>
            <w:r>
              <w:rPr>
                <w:rFonts w:hint="eastAsia" w:ascii="仿宋_GB2312" w:hAnsi="仿宋" w:eastAsia="仿宋_GB2312"/>
                <w:color w:val="auto"/>
                <w:highlight w:val="none"/>
              </w:rPr>
              <w:t>2.合法有效</w:t>
            </w:r>
          </w:p>
        </w:tc>
        <w:tc>
          <w:tcPr>
            <w:tcW w:w="867" w:type="dxa"/>
            <w:vAlign w:val="center"/>
          </w:tcPr>
          <w:p w14:paraId="35E7B320">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vAlign w:val="center"/>
          </w:tcPr>
          <w:p w14:paraId="4521D8DA">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vAlign w:val="center"/>
          </w:tcPr>
          <w:p w14:paraId="74CBDEBD">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3E94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64" w:type="dxa"/>
            <w:vAlign w:val="center"/>
          </w:tcPr>
          <w:p w14:paraId="73F043D4">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3</w:t>
            </w:r>
          </w:p>
        </w:tc>
        <w:tc>
          <w:tcPr>
            <w:tcW w:w="2679" w:type="dxa"/>
            <w:vAlign w:val="center"/>
          </w:tcPr>
          <w:p w14:paraId="2CEA050A">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开标一览表</w:t>
            </w:r>
          </w:p>
        </w:tc>
        <w:tc>
          <w:tcPr>
            <w:tcW w:w="3201" w:type="dxa"/>
            <w:vAlign w:val="center"/>
          </w:tcPr>
          <w:p w14:paraId="74371D31">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w:t>
            </w:r>
          </w:p>
          <w:p w14:paraId="4968D9C6">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2B7BBBFB">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867" w:type="dxa"/>
          </w:tcPr>
          <w:p w14:paraId="7C4F2CED">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tcPr>
          <w:p w14:paraId="2BD0C9EA">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tcPr>
          <w:p w14:paraId="20AA0243">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6CDF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664" w:type="dxa"/>
            <w:vAlign w:val="center"/>
          </w:tcPr>
          <w:p w14:paraId="620AB4C5">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4</w:t>
            </w:r>
          </w:p>
        </w:tc>
        <w:tc>
          <w:tcPr>
            <w:tcW w:w="2679" w:type="dxa"/>
            <w:vAlign w:val="center"/>
          </w:tcPr>
          <w:p w14:paraId="260477B1">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分项报价表</w:t>
            </w:r>
          </w:p>
        </w:tc>
        <w:tc>
          <w:tcPr>
            <w:tcW w:w="3201" w:type="dxa"/>
            <w:vAlign w:val="center"/>
          </w:tcPr>
          <w:p w14:paraId="039436BE">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1.按给定格式填写，信息完整</w:t>
            </w:r>
          </w:p>
          <w:p w14:paraId="61A0C4B7">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7E9C1FE5">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867" w:type="dxa"/>
          </w:tcPr>
          <w:p w14:paraId="1FC7605C">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tcPr>
          <w:p w14:paraId="0772BB30">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tcPr>
          <w:p w14:paraId="050405D5">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07BEE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4" w:type="dxa"/>
            <w:vAlign w:val="center"/>
          </w:tcPr>
          <w:p w14:paraId="347D7D3B">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5</w:t>
            </w:r>
          </w:p>
        </w:tc>
        <w:tc>
          <w:tcPr>
            <w:tcW w:w="2679" w:type="dxa"/>
            <w:vAlign w:val="center"/>
          </w:tcPr>
          <w:p w14:paraId="550B7F0C">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技术规格偏离表</w:t>
            </w:r>
          </w:p>
        </w:tc>
        <w:tc>
          <w:tcPr>
            <w:tcW w:w="3201" w:type="dxa"/>
            <w:vAlign w:val="center"/>
          </w:tcPr>
          <w:p w14:paraId="6ECD401E">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1.按给定格式及填表要求填写</w:t>
            </w:r>
          </w:p>
          <w:p w14:paraId="7A1CAB07">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1148C54D">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867" w:type="dxa"/>
          </w:tcPr>
          <w:p w14:paraId="09A2E050">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tcPr>
          <w:p w14:paraId="681EE1D8">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tcPr>
          <w:p w14:paraId="24E99EA5">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0E7FD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64" w:type="dxa"/>
            <w:vAlign w:val="center"/>
          </w:tcPr>
          <w:p w14:paraId="02E66A35">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6</w:t>
            </w:r>
          </w:p>
        </w:tc>
        <w:tc>
          <w:tcPr>
            <w:tcW w:w="2679" w:type="dxa"/>
            <w:vAlign w:val="center"/>
          </w:tcPr>
          <w:p w14:paraId="583D3515">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商务条款偏离表</w:t>
            </w:r>
          </w:p>
        </w:tc>
        <w:tc>
          <w:tcPr>
            <w:tcW w:w="3201" w:type="dxa"/>
            <w:vAlign w:val="center"/>
          </w:tcPr>
          <w:p w14:paraId="25E4AD8C">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1.按给定格式及填表要求填写</w:t>
            </w:r>
          </w:p>
          <w:p w14:paraId="63038451">
            <w:pP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2.响应招标文件实质性要求</w:t>
            </w:r>
          </w:p>
          <w:p w14:paraId="2251C20C">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rPr>
              <w:t>3.按规定签章</w:t>
            </w:r>
          </w:p>
        </w:tc>
        <w:tc>
          <w:tcPr>
            <w:tcW w:w="867" w:type="dxa"/>
          </w:tcPr>
          <w:p w14:paraId="03489AD8">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tcPr>
          <w:p w14:paraId="7BC0B06B">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tcPr>
          <w:p w14:paraId="1014166F">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05FEB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64" w:type="dxa"/>
            <w:vAlign w:val="center"/>
          </w:tcPr>
          <w:p w14:paraId="30965503">
            <w:pPr>
              <w:jc w:val="center"/>
              <w:rPr>
                <w:rFonts w:ascii="仿宋_GB2312" w:hAnsi="仿宋_GB2312" w:eastAsia="仿宋_GB2312" w:cs="仿宋_GB2312"/>
                <w:color w:val="auto"/>
                <w:szCs w:val="21"/>
                <w:highlight w:val="none"/>
              </w:rPr>
            </w:pPr>
            <w:r>
              <w:rPr>
                <w:rFonts w:hint="eastAsia" w:ascii="仿宋_GB2312" w:hAnsi="仿宋_GB2312" w:eastAsia="仿宋_GB2312" w:cs="仿宋_GB2312"/>
                <w:color w:val="auto"/>
                <w:kern w:val="0"/>
                <w:szCs w:val="21"/>
                <w:highlight w:val="none"/>
              </w:rPr>
              <w:t>7</w:t>
            </w:r>
          </w:p>
        </w:tc>
        <w:tc>
          <w:tcPr>
            <w:tcW w:w="2679" w:type="dxa"/>
            <w:vAlign w:val="center"/>
          </w:tcPr>
          <w:p w14:paraId="4B97B0F8">
            <w:pPr>
              <w:rPr>
                <w:rFonts w:ascii="仿宋_GB2312" w:hAnsi="仿宋_GB2312" w:eastAsia="仿宋_GB2312" w:cs="仿宋_GB2312"/>
                <w:b/>
                <w:color w:val="auto"/>
                <w:szCs w:val="21"/>
                <w:highlight w:val="none"/>
              </w:rPr>
            </w:pPr>
            <w:r>
              <w:rPr>
                <w:rFonts w:hint="eastAsia" w:ascii="仿宋_GB2312" w:hAnsi="仿宋_GB2312" w:eastAsia="仿宋_GB2312" w:cs="仿宋_GB2312"/>
                <w:color w:val="auto"/>
                <w:kern w:val="0"/>
                <w:szCs w:val="21"/>
                <w:highlight w:val="none"/>
              </w:rPr>
              <w:t>投标人关联单位说明</w:t>
            </w:r>
          </w:p>
        </w:tc>
        <w:tc>
          <w:tcPr>
            <w:tcW w:w="3201" w:type="dxa"/>
            <w:vAlign w:val="center"/>
          </w:tcPr>
          <w:p w14:paraId="18C8405F">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rPr>
            </w:pPr>
            <w:r>
              <w:rPr>
                <w:rFonts w:hint="eastAsia" w:ascii="仿宋_GB2312" w:hAnsi="仿宋_GB2312" w:eastAsia="仿宋_GB2312" w:cs="仿宋_GB2312"/>
                <w:b w:val="0"/>
                <w:color w:val="auto"/>
                <w:sz w:val="21"/>
                <w:szCs w:val="21"/>
                <w:highlight w:val="none"/>
                <w:lang w:val="en-US" w:eastAsia="zh-CN"/>
              </w:rPr>
              <w:t>1.</w:t>
            </w:r>
            <w:r>
              <w:rPr>
                <w:rFonts w:hint="eastAsia" w:ascii="仿宋_GB2312" w:hAnsi="仿宋_GB2312" w:eastAsia="仿宋_GB2312" w:cs="仿宋_GB2312"/>
                <w:b w:val="0"/>
                <w:color w:val="auto"/>
                <w:sz w:val="21"/>
                <w:szCs w:val="21"/>
                <w:highlight w:val="none"/>
              </w:rPr>
              <w:t>无投标须知1.5所述情形</w:t>
            </w:r>
          </w:p>
          <w:p w14:paraId="79CE6F5F">
            <w:pPr>
              <w:pStyle w:val="3"/>
              <w:adjustRightInd w:val="0"/>
              <w:snapToGrid w:val="0"/>
              <w:spacing w:before="0" w:after="0" w:line="240" w:lineRule="auto"/>
              <w:jc w:val="both"/>
              <w:rPr>
                <w:rFonts w:hint="eastAsia" w:ascii="仿宋_GB2312" w:hAnsi="仿宋_GB2312" w:eastAsia="仿宋_GB2312" w:cs="仿宋_GB2312"/>
                <w:b w:val="0"/>
                <w:color w:val="auto"/>
                <w:sz w:val="21"/>
                <w:szCs w:val="21"/>
                <w:highlight w:val="none"/>
                <w:lang w:val="en-US" w:eastAsia="zh-CN"/>
              </w:rPr>
            </w:pPr>
            <w:r>
              <w:rPr>
                <w:rFonts w:hint="eastAsia" w:ascii="仿宋_GB2312" w:hAnsi="仿宋_GB2312" w:eastAsia="仿宋_GB2312" w:cs="仿宋_GB2312"/>
                <w:b w:val="0"/>
                <w:color w:val="auto"/>
                <w:sz w:val="21"/>
                <w:szCs w:val="21"/>
                <w:highlight w:val="none"/>
                <w:lang w:val="en-US" w:eastAsia="zh-CN"/>
              </w:rPr>
              <w:t>2.按络定格式填写</w:t>
            </w:r>
          </w:p>
          <w:p w14:paraId="4E33740B">
            <w:pPr>
              <w:pStyle w:val="3"/>
              <w:adjustRightInd w:val="0"/>
              <w:snapToGrid w:val="0"/>
              <w:spacing w:before="0" w:after="0" w:line="240" w:lineRule="auto"/>
              <w:jc w:val="both"/>
              <w:rPr>
                <w:rFonts w:hint="default" w:ascii="仿宋_GB2312" w:hAnsi="仿宋_GB2312" w:eastAsia="仿宋_GB2312" w:cs="仿宋_GB2312"/>
                <w:b w:val="0"/>
                <w:color w:val="auto"/>
                <w:sz w:val="21"/>
                <w:szCs w:val="21"/>
                <w:highlight w:val="none"/>
                <w:lang w:val="en-US" w:eastAsia="zh-CN"/>
              </w:rPr>
            </w:pPr>
            <w:r>
              <w:rPr>
                <w:rFonts w:hint="eastAsia" w:ascii="仿宋_GB2312" w:hAnsi="仿宋_GB2312" w:eastAsia="仿宋_GB2312" w:cs="仿宋_GB2312"/>
                <w:b w:val="0"/>
                <w:color w:val="auto"/>
                <w:sz w:val="21"/>
                <w:szCs w:val="21"/>
                <w:highlight w:val="none"/>
                <w:lang w:val="en-US" w:eastAsia="zh-CN"/>
              </w:rPr>
              <w:t>3.按规定签章</w:t>
            </w:r>
          </w:p>
        </w:tc>
        <w:tc>
          <w:tcPr>
            <w:tcW w:w="867" w:type="dxa"/>
          </w:tcPr>
          <w:p w14:paraId="603924D9">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tcPr>
          <w:p w14:paraId="12E369E5">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tcPr>
          <w:p w14:paraId="367009A0">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68D8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664" w:type="dxa"/>
            <w:vAlign w:val="center"/>
          </w:tcPr>
          <w:p w14:paraId="4091E6C9">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8</w:t>
            </w:r>
          </w:p>
        </w:tc>
        <w:tc>
          <w:tcPr>
            <w:tcW w:w="2679" w:type="dxa"/>
            <w:vAlign w:val="center"/>
          </w:tcPr>
          <w:p w14:paraId="6DF4C7FE">
            <w:pPr>
              <w:jc w:val="left"/>
              <w:rPr>
                <w:rFonts w:ascii="仿宋_GB2312" w:hAnsi="仿宋_GB2312" w:eastAsia="仿宋_GB2312" w:cs="仿宋_GB2312"/>
                <w:color w:val="auto"/>
                <w:kern w:val="0"/>
                <w:szCs w:val="21"/>
                <w:highlight w:val="none"/>
              </w:rPr>
            </w:pPr>
            <w:r>
              <w:rPr>
                <w:rFonts w:hint="eastAsia" w:ascii="仿宋_GB2312" w:hAnsi="仿宋" w:eastAsia="仿宋_GB2312" w:cs="仿宋_GB2312"/>
                <w:color w:val="auto"/>
                <w:szCs w:val="21"/>
                <w:highlight w:val="none"/>
              </w:rPr>
              <w:t>文件一致性承诺函</w:t>
            </w:r>
          </w:p>
        </w:tc>
        <w:tc>
          <w:tcPr>
            <w:tcW w:w="3201" w:type="dxa"/>
            <w:vAlign w:val="center"/>
          </w:tcPr>
          <w:p w14:paraId="0B1FBD35">
            <w:pPr>
              <w:pStyle w:val="3"/>
              <w:adjustRightInd w:val="0"/>
              <w:snapToGrid w:val="0"/>
              <w:spacing w:before="0" w:after="0" w:line="240" w:lineRule="auto"/>
              <w:jc w:val="both"/>
              <w:rPr>
                <w:rFonts w:ascii="仿宋_GB2312" w:hAnsi="仿宋" w:eastAsia="仿宋_GB2312" w:cs="仿宋_GB2312"/>
                <w:b w:val="0"/>
                <w:color w:val="auto"/>
                <w:sz w:val="21"/>
                <w:szCs w:val="21"/>
                <w:highlight w:val="none"/>
              </w:rPr>
            </w:pPr>
            <w:r>
              <w:rPr>
                <w:rFonts w:hint="eastAsia" w:ascii="仿宋_GB2312" w:hAnsi="仿宋" w:eastAsia="仿宋_GB2312" w:cs="仿宋_GB2312"/>
                <w:b w:val="0"/>
                <w:color w:val="auto"/>
                <w:sz w:val="21"/>
                <w:szCs w:val="21"/>
                <w:highlight w:val="none"/>
              </w:rPr>
              <w:t>1.按给定格式</w:t>
            </w:r>
            <w:r>
              <w:rPr>
                <w:rFonts w:hint="eastAsia" w:ascii="仿宋_GB2312" w:hAnsi="仿宋" w:eastAsia="仿宋_GB2312" w:cs="仿宋_GB2312"/>
                <w:b w:val="0"/>
                <w:color w:val="auto"/>
                <w:sz w:val="21"/>
                <w:szCs w:val="21"/>
                <w:highlight w:val="none"/>
                <w:lang w:val="en-US" w:eastAsia="zh-CN"/>
              </w:rPr>
              <w:t>及内容</w:t>
            </w:r>
            <w:r>
              <w:rPr>
                <w:rFonts w:hint="eastAsia" w:ascii="仿宋_GB2312" w:hAnsi="仿宋" w:eastAsia="仿宋_GB2312" w:cs="仿宋_GB2312"/>
                <w:b w:val="0"/>
                <w:color w:val="auto"/>
                <w:sz w:val="21"/>
                <w:szCs w:val="21"/>
                <w:highlight w:val="none"/>
              </w:rPr>
              <w:t>填写</w:t>
            </w:r>
          </w:p>
          <w:p w14:paraId="01AFE412">
            <w:pPr>
              <w:pStyle w:val="3"/>
              <w:adjustRightInd w:val="0"/>
              <w:snapToGrid w:val="0"/>
              <w:spacing w:before="0" w:after="0" w:line="240" w:lineRule="auto"/>
              <w:jc w:val="both"/>
              <w:rPr>
                <w:rFonts w:ascii="仿宋_GB2312" w:hAnsi="仿宋_GB2312" w:eastAsia="仿宋_GB2312" w:cs="仿宋_GB2312"/>
                <w:b w:val="0"/>
                <w:color w:val="auto"/>
                <w:sz w:val="21"/>
                <w:szCs w:val="21"/>
                <w:highlight w:val="none"/>
              </w:rPr>
            </w:pPr>
            <w:r>
              <w:rPr>
                <w:rFonts w:hint="eastAsia" w:ascii="仿宋_GB2312" w:hAnsi="仿宋" w:eastAsia="仿宋_GB2312" w:cs="仿宋_GB2312"/>
                <w:b w:val="0"/>
                <w:color w:val="auto"/>
                <w:sz w:val="21"/>
                <w:szCs w:val="21"/>
                <w:highlight w:val="none"/>
              </w:rPr>
              <w:t>2.按规定签章</w:t>
            </w:r>
          </w:p>
        </w:tc>
        <w:tc>
          <w:tcPr>
            <w:tcW w:w="867" w:type="dxa"/>
          </w:tcPr>
          <w:p w14:paraId="6B5D3920">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tcPr>
          <w:p w14:paraId="5FAA755C">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tcPr>
          <w:p w14:paraId="494E1DEA">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139E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664" w:type="dxa"/>
            <w:vAlign w:val="center"/>
          </w:tcPr>
          <w:p w14:paraId="36A824DF">
            <w:pPr>
              <w:jc w:val="center"/>
              <w:rPr>
                <w:rFonts w:ascii="仿宋_GB2312" w:hAnsi="仿宋_GB2312" w:eastAsia="仿宋_GB2312" w:cs="仿宋_GB2312"/>
                <w:color w:val="auto"/>
                <w:kern w:val="0"/>
                <w:szCs w:val="21"/>
                <w:highlight w:val="none"/>
              </w:rPr>
            </w:pPr>
            <w:r>
              <w:rPr>
                <w:rFonts w:hint="eastAsia" w:ascii="仿宋_GB2312" w:hAnsi="仿宋_GB2312" w:eastAsia="仿宋_GB2312" w:cs="仿宋_GB2312"/>
                <w:color w:val="auto"/>
                <w:kern w:val="0"/>
                <w:szCs w:val="21"/>
                <w:highlight w:val="none"/>
              </w:rPr>
              <w:t>9</w:t>
            </w:r>
          </w:p>
        </w:tc>
        <w:tc>
          <w:tcPr>
            <w:tcW w:w="2679" w:type="dxa"/>
            <w:vAlign w:val="center"/>
          </w:tcPr>
          <w:p w14:paraId="4C3FCC11">
            <w:pPr>
              <w:jc w:val="left"/>
              <w:rPr>
                <w:rFonts w:ascii="仿宋_GB2312" w:hAnsi="仿宋_GB2312" w:eastAsia="仿宋_GB2312" w:cs="仿宋_GB2312"/>
                <w:color w:val="auto"/>
                <w:kern w:val="0"/>
                <w:szCs w:val="21"/>
                <w:highlight w:val="none"/>
              </w:rPr>
            </w:pPr>
            <w:r>
              <w:rPr>
                <w:rFonts w:hint="eastAsia" w:ascii="仿宋_GB2312" w:hAnsi="仿宋" w:eastAsia="仿宋_GB2312" w:cs="仿宋_GB2312"/>
                <w:color w:val="auto"/>
                <w:szCs w:val="21"/>
                <w:highlight w:val="none"/>
              </w:rPr>
              <w:t>投标响应</w:t>
            </w:r>
          </w:p>
        </w:tc>
        <w:tc>
          <w:tcPr>
            <w:tcW w:w="3201" w:type="dxa"/>
            <w:vAlign w:val="center"/>
          </w:tcPr>
          <w:p w14:paraId="2908D10F">
            <w:pPr>
              <w:rPr>
                <w:rFonts w:ascii="仿宋_GB2312" w:hAnsi="仿宋_GB2312" w:eastAsia="仿宋_GB2312" w:cs="仿宋_GB2312"/>
                <w:b/>
                <w:color w:val="auto"/>
                <w:szCs w:val="21"/>
                <w:highlight w:val="none"/>
              </w:rPr>
            </w:pPr>
            <w:r>
              <w:rPr>
                <w:rFonts w:hint="eastAsia" w:ascii="仿宋_GB2312" w:hAnsi="仿宋" w:eastAsia="仿宋_GB2312" w:cs="仿宋_GB2312"/>
                <w:color w:val="auto"/>
                <w:szCs w:val="21"/>
                <w:highlight w:val="none"/>
              </w:rPr>
              <w:t>响应招标文件实质性要求</w:t>
            </w:r>
          </w:p>
        </w:tc>
        <w:tc>
          <w:tcPr>
            <w:tcW w:w="867" w:type="dxa"/>
          </w:tcPr>
          <w:p w14:paraId="6290CF2F">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tcPr>
          <w:p w14:paraId="724E889E">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tcPr>
          <w:p w14:paraId="08D34581">
            <w:pPr>
              <w:pStyle w:val="3"/>
              <w:adjustRightInd w:val="0"/>
              <w:snapToGrid w:val="0"/>
              <w:spacing w:before="0" w:after="0" w:line="240" w:lineRule="auto"/>
              <w:rPr>
                <w:rFonts w:ascii="仿宋_GB2312" w:hAnsi="仿宋_GB2312" w:eastAsia="仿宋_GB2312" w:cs="仿宋_GB2312"/>
                <w:color w:val="auto"/>
                <w:sz w:val="24"/>
                <w:highlight w:val="none"/>
              </w:rPr>
            </w:pPr>
          </w:p>
        </w:tc>
      </w:tr>
      <w:tr w14:paraId="0893F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544" w:type="dxa"/>
            <w:gridSpan w:val="3"/>
            <w:vAlign w:val="center"/>
          </w:tcPr>
          <w:p w14:paraId="7889AF51">
            <w:pPr>
              <w:pStyle w:val="3"/>
              <w:adjustRightInd w:val="0"/>
              <w:snapToGrid w:val="0"/>
              <w:spacing w:before="0" w:after="0" w:line="240" w:lineRule="auto"/>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结  论</w:t>
            </w:r>
          </w:p>
        </w:tc>
        <w:tc>
          <w:tcPr>
            <w:tcW w:w="867" w:type="dxa"/>
          </w:tcPr>
          <w:p w14:paraId="6FFB890A">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17" w:type="dxa"/>
          </w:tcPr>
          <w:p w14:paraId="486EF7B4">
            <w:pPr>
              <w:pStyle w:val="3"/>
              <w:adjustRightInd w:val="0"/>
              <w:snapToGrid w:val="0"/>
              <w:spacing w:before="0" w:after="0" w:line="240" w:lineRule="auto"/>
              <w:rPr>
                <w:rFonts w:ascii="仿宋_GB2312" w:hAnsi="仿宋_GB2312" w:eastAsia="仿宋_GB2312" w:cs="仿宋_GB2312"/>
                <w:color w:val="auto"/>
                <w:sz w:val="24"/>
                <w:highlight w:val="none"/>
              </w:rPr>
            </w:pPr>
          </w:p>
        </w:tc>
        <w:tc>
          <w:tcPr>
            <w:tcW w:w="854" w:type="dxa"/>
          </w:tcPr>
          <w:p w14:paraId="1FAA36C2">
            <w:pPr>
              <w:pStyle w:val="3"/>
              <w:adjustRightInd w:val="0"/>
              <w:snapToGrid w:val="0"/>
              <w:spacing w:before="0" w:after="0" w:line="240" w:lineRule="auto"/>
              <w:rPr>
                <w:rFonts w:ascii="仿宋_GB2312" w:hAnsi="仿宋_GB2312" w:eastAsia="仿宋_GB2312" w:cs="仿宋_GB2312"/>
                <w:color w:val="auto"/>
                <w:sz w:val="24"/>
                <w:highlight w:val="none"/>
              </w:rPr>
            </w:pPr>
          </w:p>
        </w:tc>
      </w:tr>
    </w:tbl>
    <w:p w14:paraId="5C72DBCD">
      <w:pP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填表说明：1.每项内容审查合格，在表中填写“√”；不合格填写“×”；</w:t>
      </w:r>
    </w:p>
    <w:p w14:paraId="2EAA15E1">
      <w:pP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 xml:space="preserve">          2.审查结论填写“通过”或“不通过”。</w:t>
      </w:r>
    </w:p>
    <w:p w14:paraId="51DADFF2">
      <w:pPr>
        <w:pStyle w:val="21"/>
        <w:widowControl w:val="0"/>
        <w:snapToGrid w:val="0"/>
        <w:spacing w:before="0" w:beforeAutospacing="0" w:after="0" w:afterAutospacing="0" w:line="480" w:lineRule="auto"/>
        <w:rPr>
          <w:rFonts w:ascii="仿宋_GB2312" w:hAnsi="仿宋" w:eastAsia="仿宋_GB2312" w:cs="仿宋_GB2312"/>
          <w:color w:val="auto"/>
          <w:highlight w:val="none"/>
        </w:rPr>
      </w:pPr>
    </w:p>
    <w:p w14:paraId="04F7FA3E">
      <w:pPr>
        <w:pStyle w:val="21"/>
        <w:widowControl w:val="0"/>
        <w:snapToGrid w:val="0"/>
        <w:spacing w:before="0" w:beforeAutospacing="0" w:after="0" w:afterAutospacing="0" w:line="480" w:lineRule="auto"/>
        <w:ind w:left="6720" w:hanging="6720" w:hangingChars="280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 xml:space="preserve">审查人签字： </w:t>
      </w:r>
    </w:p>
    <w:p w14:paraId="7BBB7672">
      <w:pPr>
        <w:pStyle w:val="21"/>
        <w:widowControl w:val="0"/>
        <w:snapToGrid w:val="0"/>
        <w:spacing w:before="0" w:beforeAutospacing="0" w:after="0" w:afterAutospacing="0" w:line="480" w:lineRule="auto"/>
        <w:ind w:left="6720" w:hanging="6720" w:hangingChars="2800"/>
        <w:rPr>
          <w:rFonts w:ascii="仿宋_GB2312" w:hAnsi="仿宋" w:eastAsia="仿宋_GB2312" w:cs="仿宋_GB2312"/>
          <w:b/>
          <w:color w:val="auto"/>
          <w:highlight w:val="none"/>
        </w:rPr>
      </w:pPr>
      <w:r>
        <w:rPr>
          <w:rFonts w:hint="eastAsia" w:ascii="仿宋_GB2312" w:hAnsi="仿宋" w:eastAsia="仿宋_GB2312" w:cs="仿宋_GB2312"/>
          <w:bCs/>
          <w:color w:val="auto"/>
          <w:highlight w:val="none"/>
        </w:rPr>
        <w:t>日      期：</w:t>
      </w:r>
      <w:bookmarkStart w:id="149" w:name="_Toc17433_WPSOffice_Level2"/>
      <w:r>
        <w:rPr>
          <w:rFonts w:hint="eastAsia" w:ascii="仿宋_GB2312" w:hAnsi="仿宋" w:eastAsia="仿宋_GB2312" w:cs="仿宋_GB2312"/>
          <w:b/>
          <w:color w:val="auto"/>
          <w:highlight w:val="none"/>
        </w:rPr>
        <w:t xml:space="preserve"> </w:t>
      </w:r>
    </w:p>
    <w:p w14:paraId="05B07F72">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ascii="仿宋_GB2312" w:hAnsi="仿宋" w:eastAsia="仿宋_GB2312" w:cs="仿宋_GB2312"/>
          <w:color w:val="auto"/>
          <w:szCs w:val="28"/>
          <w:highlight w:val="none"/>
        </w:rPr>
        <w:br w:type="page"/>
      </w:r>
      <w:r>
        <w:rPr>
          <w:rFonts w:hint="eastAsia" w:ascii="仿宋_GB2312" w:hAnsi="仿宋" w:eastAsia="仿宋_GB2312" w:cs="仿宋_GB2312"/>
          <w:color w:val="auto"/>
          <w:szCs w:val="28"/>
          <w:highlight w:val="none"/>
        </w:rPr>
        <w:t>附件3</w:t>
      </w:r>
      <w:bookmarkEnd w:id="149"/>
    </w:p>
    <w:p w14:paraId="2397D93A">
      <w:pPr>
        <w:snapToGrid w:val="0"/>
        <w:spacing w:after="159" w:afterLines="50"/>
        <w:jc w:val="center"/>
        <w:rPr>
          <w:rFonts w:hint="eastAsia" w:ascii="方正小标宋简体" w:eastAsia="方正小标宋简体"/>
          <w:bCs/>
          <w:color w:val="auto"/>
          <w:sz w:val="32"/>
          <w:szCs w:val="32"/>
          <w:highlight w:val="none"/>
        </w:rPr>
      </w:pPr>
      <w:r>
        <w:rPr>
          <w:rFonts w:hint="eastAsia" w:ascii="方正小标宋简体" w:eastAsia="方正小标宋简体"/>
          <w:bCs/>
          <w:color w:val="auto"/>
          <w:sz w:val="32"/>
          <w:szCs w:val="32"/>
          <w:highlight w:val="none"/>
        </w:rPr>
        <w:t>评分细则</w:t>
      </w:r>
    </w:p>
    <w:p w14:paraId="0E5DD998">
      <w:pPr>
        <w:keepNext w:val="0"/>
        <w:keepLines w:val="0"/>
        <w:pageBreakBefore w:val="0"/>
        <w:widowControl w:val="0"/>
        <w:kinsoku/>
        <w:wordWrap/>
        <w:overflowPunct/>
        <w:topLinePunct w:val="0"/>
        <w:autoSpaceDE/>
        <w:autoSpaceDN/>
        <w:bidi w:val="0"/>
        <w:adjustRightInd/>
        <w:snapToGrid w:val="0"/>
        <w:jc w:val="both"/>
        <w:textAlignment w:val="auto"/>
        <w:rPr>
          <w:rFonts w:hint="default" w:ascii="仿宋_GB2312" w:eastAsia="仿宋_GB2312"/>
          <w:b/>
          <w:color w:val="auto"/>
          <w:sz w:val="24"/>
          <w:highlight w:val="none"/>
          <w:lang w:val="en-US" w:eastAsia="zh-CN"/>
        </w:rPr>
      </w:pPr>
      <w:r>
        <w:rPr>
          <w:rFonts w:hint="eastAsia" w:ascii="仿宋_GB2312" w:eastAsia="仿宋_GB2312"/>
          <w:b/>
          <w:color w:val="auto"/>
          <w:sz w:val="24"/>
          <w:highlight w:val="none"/>
          <w:lang w:eastAsia="zh-CN"/>
        </w:rPr>
        <w:t>（</w:t>
      </w:r>
      <w:r>
        <w:rPr>
          <w:rFonts w:hint="eastAsia" w:ascii="仿宋_GB2312" w:eastAsia="仿宋_GB2312"/>
          <w:b/>
          <w:color w:val="auto"/>
          <w:sz w:val="24"/>
          <w:highlight w:val="none"/>
          <w:lang w:val="en-US" w:eastAsia="zh-CN"/>
        </w:rPr>
        <w:t>一</w:t>
      </w:r>
      <w:r>
        <w:rPr>
          <w:rFonts w:hint="eastAsia" w:ascii="仿宋_GB2312" w:eastAsia="仿宋_GB2312"/>
          <w:b/>
          <w:color w:val="auto"/>
          <w:sz w:val="24"/>
          <w:highlight w:val="none"/>
          <w:lang w:eastAsia="zh-CN"/>
        </w:rPr>
        <w:t>）</w:t>
      </w:r>
      <w:r>
        <w:rPr>
          <w:rFonts w:hint="eastAsia" w:ascii="仿宋_GB2312" w:eastAsia="仿宋_GB2312"/>
          <w:b/>
          <w:color w:val="auto"/>
          <w:sz w:val="24"/>
          <w:highlight w:val="none"/>
        </w:rPr>
        <w:t>基本评分标准</w:t>
      </w:r>
    </w:p>
    <w:tbl>
      <w:tblPr>
        <w:tblStyle w:val="25"/>
        <w:tblpPr w:leftFromText="180" w:rightFromText="180" w:vertAnchor="text" w:horzAnchor="page" w:tblpX="1431" w:tblpY="431"/>
        <w:tblOverlap w:val="never"/>
        <w:tblW w:w="90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173"/>
        <w:gridCol w:w="1169"/>
        <w:gridCol w:w="6010"/>
        <w:gridCol w:w="664"/>
      </w:tblGrid>
      <w:tr w14:paraId="7FAE4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8" w:hRule="atLeast"/>
        </w:trPr>
        <w:tc>
          <w:tcPr>
            <w:tcW w:w="1173" w:type="dxa"/>
            <w:noWrap w:val="0"/>
            <w:vAlign w:val="center"/>
          </w:tcPr>
          <w:p w14:paraId="2C051709">
            <w:pPr>
              <w:adjustRightInd w:val="0"/>
              <w:snapToGrid w:val="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项目</w:t>
            </w:r>
          </w:p>
        </w:tc>
        <w:tc>
          <w:tcPr>
            <w:tcW w:w="1169" w:type="dxa"/>
            <w:noWrap w:val="0"/>
            <w:vAlign w:val="center"/>
          </w:tcPr>
          <w:p w14:paraId="678281AF">
            <w:pPr>
              <w:adjustRightInd w:val="0"/>
              <w:snapToGrid w:val="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分项名称</w:t>
            </w:r>
          </w:p>
        </w:tc>
        <w:tc>
          <w:tcPr>
            <w:tcW w:w="6010" w:type="dxa"/>
            <w:noWrap w:val="0"/>
            <w:vAlign w:val="center"/>
          </w:tcPr>
          <w:p w14:paraId="7679DE0F">
            <w:pPr>
              <w:adjustRightInd w:val="0"/>
              <w:snapToGrid w:val="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评分标准</w:t>
            </w:r>
          </w:p>
        </w:tc>
        <w:tc>
          <w:tcPr>
            <w:tcW w:w="664" w:type="dxa"/>
            <w:noWrap w:val="0"/>
            <w:vAlign w:val="center"/>
          </w:tcPr>
          <w:p w14:paraId="53C8642D">
            <w:pPr>
              <w:adjustRightInd w:val="0"/>
              <w:snapToGrid w:val="0"/>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满分</w:t>
            </w:r>
          </w:p>
        </w:tc>
      </w:tr>
      <w:tr w14:paraId="29F15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3" w:type="dxa"/>
            <w:noWrap w:val="0"/>
            <w:vAlign w:val="center"/>
          </w:tcPr>
          <w:p w14:paraId="2BDFBEDF">
            <w:pPr>
              <w:adjustRightInd w:val="0"/>
              <w:snapToGri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价格部分（</w:t>
            </w:r>
            <w:r>
              <w:rPr>
                <w:rFonts w:hint="eastAsia" w:ascii="仿宋_GB2312" w:hAnsi="仿宋_GB2312" w:eastAsia="仿宋_GB2312" w:cs="仿宋_GB2312"/>
                <w:color w:val="auto"/>
                <w:kern w:val="0"/>
                <w:sz w:val="24"/>
                <w:szCs w:val="24"/>
                <w:highlight w:val="none"/>
                <w:lang w:val="en-US" w:eastAsia="zh-CN"/>
              </w:rPr>
              <w:t>30</w:t>
            </w:r>
            <w:r>
              <w:rPr>
                <w:rFonts w:hint="eastAsia" w:ascii="仿宋_GB2312" w:hAnsi="仿宋_GB2312" w:eastAsia="仿宋_GB2312" w:cs="仿宋_GB2312"/>
                <w:color w:val="auto"/>
                <w:kern w:val="0"/>
                <w:sz w:val="24"/>
                <w:szCs w:val="24"/>
                <w:highlight w:val="none"/>
              </w:rPr>
              <w:t>分）</w:t>
            </w:r>
          </w:p>
        </w:tc>
        <w:tc>
          <w:tcPr>
            <w:tcW w:w="1169" w:type="dxa"/>
            <w:noWrap w:val="0"/>
            <w:vAlign w:val="center"/>
          </w:tcPr>
          <w:p w14:paraId="0EA8C396">
            <w:pPr>
              <w:adjustRightInd w:val="0"/>
              <w:snapToGri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投标报价</w:t>
            </w:r>
          </w:p>
        </w:tc>
        <w:tc>
          <w:tcPr>
            <w:tcW w:w="6010" w:type="dxa"/>
            <w:noWrap w:val="0"/>
            <w:vAlign w:val="center"/>
          </w:tcPr>
          <w:p w14:paraId="482A93A1">
            <w:pPr>
              <w:keepNext w:val="0"/>
              <w:keepLines w:val="0"/>
              <w:pageBreakBefore w:val="0"/>
              <w:kinsoku/>
              <w:wordWrap/>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评审内容：</w:t>
            </w:r>
            <w:r>
              <w:rPr>
                <w:rFonts w:hint="eastAsia" w:ascii="仿宋_GB2312" w:hAnsi="仿宋_GB2312" w:eastAsia="仿宋_GB2312" w:cs="仿宋_GB2312"/>
                <w:color w:val="auto"/>
                <w:kern w:val="0"/>
                <w:sz w:val="24"/>
                <w:szCs w:val="24"/>
                <w:highlight w:val="none"/>
              </w:rPr>
              <w:t>投标</w:t>
            </w:r>
            <w:r>
              <w:rPr>
                <w:rFonts w:hint="eastAsia" w:ascii="仿宋_GB2312" w:hAnsi="仿宋_GB2312" w:eastAsia="仿宋_GB2312" w:cs="仿宋_GB2312"/>
                <w:color w:val="auto"/>
                <w:sz w:val="24"/>
                <w:szCs w:val="24"/>
                <w:highlight w:val="none"/>
              </w:rPr>
              <w:t>报价；</w:t>
            </w:r>
          </w:p>
          <w:p w14:paraId="13484EAC">
            <w:pPr>
              <w:keepNext w:val="0"/>
              <w:keepLines w:val="0"/>
              <w:pageBreakBefore w:val="0"/>
              <w:kinsoku/>
              <w:wordWrap/>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rPr>
              <w:t>评审标准：</w:t>
            </w:r>
            <w:r>
              <w:rPr>
                <w:rFonts w:hint="eastAsia" w:ascii="仿宋_GB2312" w:hAnsi="仿宋_GB2312" w:eastAsia="仿宋_GB2312" w:cs="仿宋_GB2312"/>
                <w:color w:val="auto"/>
                <w:kern w:val="0"/>
                <w:sz w:val="24"/>
                <w:szCs w:val="24"/>
                <w:highlight w:val="none"/>
              </w:rPr>
              <w:t>报价得分=（Cmin/C）×</w:t>
            </w:r>
            <w:r>
              <w:rPr>
                <w:rFonts w:hint="eastAsia" w:ascii="仿宋_GB2312" w:hAnsi="仿宋_GB2312" w:eastAsia="仿宋_GB2312" w:cs="仿宋_GB2312"/>
                <w:color w:val="auto"/>
                <w:kern w:val="0"/>
                <w:sz w:val="24"/>
                <w:szCs w:val="24"/>
                <w:highlight w:val="none"/>
                <w:lang w:val="en-US" w:eastAsia="zh-CN"/>
              </w:rPr>
              <w:t>30</w:t>
            </w:r>
            <w:r>
              <w:rPr>
                <w:rFonts w:hint="eastAsia" w:ascii="仿宋_GB2312" w:hAnsi="仿宋_GB2312" w:eastAsia="仿宋_GB2312" w:cs="仿宋_GB2312"/>
                <w:color w:val="auto"/>
                <w:kern w:val="0"/>
                <w:sz w:val="24"/>
                <w:szCs w:val="24"/>
                <w:highlight w:val="none"/>
              </w:rPr>
              <w:t>。</w:t>
            </w:r>
          </w:p>
          <w:p w14:paraId="71055424">
            <w:pPr>
              <w:keepNext w:val="0"/>
              <w:keepLines w:val="0"/>
              <w:pageBreakBefore w:val="0"/>
              <w:kinsoku/>
              <w:wordWrap/>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sz w:val="24"/>
                <w:szCs w:val="24"/>
                <w:highlight w:val="none"/>
              </w:rPr>
              <w:t>其中，Cmin为所有有效报价中的最低</w:t>
            </w:r>
            <w:r>
              <w:rPr>
                <w:rFonts w:hint="eastAsia" w:ascii="仿宋_GB2312" w:hAnsi="仿宋_GB2312" w:eastAsia="仿宋_GB2312" w:cs="仿宋_GB2312"/>
                <w:color w:val="auto"/>
                <w:kern w:val="0"/>
                <w:sz w:val="24"/>
                <w:szCs w:val="24"/>
                <w:highlight w:val="none"/>
              </w:rPr>
              <w:t>投标</w:t>
            </w:r>
            <w:r>
              <w:rPr>
                <w:rFonts w:hint="eastAsia" w:ascii="仿宋_GB2312" w:hAnsi="仿宋_GB2312" w:eastAsia="仿宋_GB2312" w:cs="仿宋_GB2312"/>
                <w:color w:val="auto"/>
                <w:sz w:val="24"/>
                <w:szCs w:val="24"/>
                <w:highlight w:val="none"/>
              </w:rPr>
              <w:t>报价，C为投标人的报价。报价得分四舍五入，保留小数点后两位。</w:t>
            </w:r>
          </w:p>
        </w:tc>
        <w:tc>
          <w:tcPr>
            <w:tcW w:w="664" w:type="dxa"/>
            <w:noWrap w:val="0"/>
            <w:vAlign w:val="center"/>
          </w:tcPr>
          <w:p w14:paraId="10449AD9">
            <w:pPr>
              <w:adjustRightInd w:val="0"/>
              <w:snapToGrid w:val="0"/>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30</w:t>
            </w:r>
          </w:p>
        </w:tc>
      </w:tr>
      <w:tr w14:paraId="75C77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3" w:type="dxa"/>
            <w:vMerge w:val="restart"/>
            <w:noWrap w:val="0"/>
            <w:vAlign w:val="center"/>
          </w:tcPr>
          <w:p w14:paraId="3EDC0BF3">
            <w:pPr>
              <w:adjustRightInd w:val="0"/>
              <w:snapToGri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技术部分（</w:t>
            </w:r>
            <w:r>
              <w:rPr>
                <w:rFonts w:hint="eastAsia" w:ascii="仿宋_GB2312" w:hAnsi="仿宋_GB2312" w:eastAsia="仿宋_GB2312" w:cs="仿宋_GB2312"/>
                <w:color w:val="auto"/>
                <w:kern w:val="0"/>
                <w:sz w:val="24"/>
                <w:szCs w:val="24"/>
                <w:highlight w:val="none"/>
                <w:lang w:val="en-US" w:eastAsia="zh-CN"/>
              </w:rPr>
              <w:t>66</w:t>
            </w:r>
            <w:r>
              <w:rPr>
                <w:rFonts w:hint="eastAsia" w:ascii="仿宋_GB2312" w:hAnsi="仿宋_GB2312" w:eastAsia="仿宋_GB2312" w:cs="仿宋_GB2312"/>
                <w:color w:val="auto"/>
                <w:kern w:val="0"/>
                <w:sz w:val="24"/>
                <w:szCs w:val="24"/>
                <w:highlight w:val="none"/>
              </w:rPr>
              <w:t>分）</w:t>
            </w:r>
          </w:p>
        </w:tc>
        <w:tc>
          <w:tcPr>
            <w:tcW w:w="1169" w:type="dxa"/>
            <w:noWrap w:val="0"/>
            <w:vAlign w:val="center"/>
          </w:tcPr>
          <w:p w14:paraId="05510194">
            <w:pPr>
              <w:tabs>
                <w:tab w:val="left" w:pos="1177"/>
                <w:tab w:val="left" w:pos="1498"/>
              </w:tabs>
              <w:spacing w:line="340" w:lineRule="exact"/>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技术参数</w:t>
            </w:r>
          </w:p>
        </w:tc>
        <w:tc>
          <w:tcPr>
            <w:tcW w:w="6010" w:type="dxa"/>
            <w:noWrap w:val="0"/>
            <w:vAlign w:val="center"/>
          </w:tcPr>
          <w:p w14:paraId="08FBB5E6">
            <w:pPr>
              <w:keepNext w:val="0"/>
              <w:keepLines w:val="0"/>
              <w:pageBreakBefore w:val="0"/>
              <w:kinsoku/>
              <w:wordWrap/>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评审内容：技术参数；</w:t>
            </w:r>
          </w:p>
          <w:p w14:paraId="69F786BE">
            <w:pPr>
              <w:keepNext w:val="0"/>
              <w:keepLines w:val="0"/>
              <w:pageBreakBefore w:val="0"/>
              <w:kinsoku/>
              <w:wordWrap/>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评审标准：</w:t>
            </w:r>
          </w:p>
          <w:p w14:paraId="3F1BA3C2">
            <w:pPr>
              <w:keepNext w:val="0"/>
              <w:keepLines w:val="0"/>
              <w:pageBreakBefore w:val="0"/>
              <w:kinsoku/>
              <w:wordWrap/>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技术规格偏离表中共有</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项26个</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投标人按要求提供证明材料，每符合1项得1.5分，最多得39分；</w:t>
            </w:r>
          </w:p>
          <w:p w14:paraId="2C773BB2">
            <w:pPr>
              <w:keepNext w:val="0"/>
              <w:keepLines w:val="0"/>
              <w:pageBreakBefore w:val="0"/>
              <w:kinsoku/>
              <w:wordWrap/>
              <w:overflowPunct/>
              <w:topLinePunct w:val="0"/>
              <w:autoSpaceDE/>
              <w:autoSpaceDN/>
              <w:bidi w:val="0"/>
              <w:adjustRightInd w:val="0"/>
              <w:snapToGrid/>
              <w:spacing w:line="440" w:lineRule="exact"/>
              <w:ind w:firstLine="480" w:firstLineChars="200"/>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注：投标人提供相关证明材料复印件加盖投标人公章。</w:t>
            </w:r>
          </w:p>
        </w:tc>
        <w:tc>
          <w:tcPr>
            <w:tcW w:w="664" w:type="dxa"/>
            <w:noWrap w:val="0"/>
            <w:vAlign w:val="center"/>
          </w:tcPr>
          <w:p w14:paraId="6CEA9933">
            <w:pPr>
              <w:jc w:val="center"/>
              <w:rPr>
                <w:rFonts w:hint="default"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39</w:t>
            </w:r>
          </w:p>
        </w:tc>
      </w:tr>
      <w:tr w14:paraId="76F2A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3" w:type="dxa"/>
            <w:vMerge w:val="continue"/>
            <w:noWrap w:val="0"/>
            <w:vAlign w:val="center"/>
          </w:tcPr>
          <w:p w14:paraId="057D4619">
            <w:pPr>
              <w:adjustRightInd w:val="0"/>
              <w:snapToGrid w:val="0"/>
              <w:jc w:val="center"/>
              <w:rPr>
                <w:rFonts w:hint="eastAsia" w:ascii="仿宋_GB2312" w:hAnsi="仿宋_GB2312" w:eastAsia="仿宋_GB2312" w:cs="仿宋_GB2312"/>
                <w:color w:val="auto"/>
                <w:kern w:val="0"/>
                <w:sz w:val="24"/>
                <w:szCs w:val="24"/>
                <w:highlight w:val="none"/>
              </w:rPr>
            </w:pPr>
          </w:p>
        </w:tc>
        <w:tc>
          <w:tcPr>
            <w:tcW w:w="1169" w:type="dxa"/>
            <w:noWrap w:val="0"/>
            <w:vAlign w:val="center"/>
          </w:tcPr>
          <w:p w14:paraId="3BFD1E40">
            <w:pPr>
              <w:adjustRightInd w:val="0"/>
              <w:snapToGrid w:val="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技术方案</w:t>
            </w:r>
          </w:p>
        </w:tc>
        <w:tc>
          <w:tcPr>
            <w:tcW w:w="6010" w:type="dxa"/>
            <w:noWrap w:val="0"/>
            <w:vAlign w:val="center"/>
          </w:tcPr>
          <w:p w14:paraId="62962005">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投标人应根据采购需求，结合项目实际，提供技术方案，方案至少应包含但不限于以下内容：①保证交货时间的时效性②各产品之间的操控性、兼容性、稳定性③确保本项目顺利实施的技术支持。</w:t>
            </w:r>
          </w:p>
          <w:p w14:paraId="1D0ACD0F">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1.提供符合采购需求全面详实的有效方案，无缺陷，得6分； </w:t>
            </w:r>
          </w:p>
          <w:p w14:paraId="5527CB95">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2.提供符合采购需求较为全面的有效方案，但存在不足，得4分； </w:t>
            </w:r>
          </w:p>
          <w:p w14:paraId="3EFABB66">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3.方案内容存在明显缺陷的，得2分；</w:t>
            </w:r>
          </w:p>
          <w:p w14:paraId="75C58959">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4.未提供方案，得0分。</w:t>
            </w:r>
          </w:p>
        </w:tc>
        <w:tc>
          <w:tcPr>
            <w:tcW w:w="664" w:type="dxa"/>
            <w:noWrap w:val="0"/>
            <w:vAlign w:val="center"/>
          </w:tcPr>
          <w:p w14:paraId="0704FCDB">
            <w:pPr>
              <w:widowControl/>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6</w:t>
            </w:r>
          </w:p>
        </w:tc>
      </w:tr>
      <w:tr w14:paraId="5909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3" w:type="dxa"/>
            <w:vMerge w:val="continue"/>
            <w:noWrap w:val="0"/>
            <w:vAlign w:val="center"/>
          </w:tcPr>
          <w:p w14:paraId="4F634FCD">
            <w:pPr>
              <w:adjustRightInd w:val="0"/>
              <w:snapToGrid w:val="0"/>
              <w:jc w:val="center"/>
              <w:rPr>
                <w:rFonts w:hint="eastAsia" w:ascii="仿宋_GB2312" w:hAnsi="仿宋_GB2312" w:eastAsia="仿宋_GB2312" w:cs="仿宋_GB2312"/>
                <w:color w:val="auto"/>
                <w:kern w:val="0"/>
                <w:sz w:val="24"/>
                <w:szCs w:val="24"/>
                <w:highlight w:val="none"/>
              </w:rPr>
            </w:pPr>
          </w:p>
        </w:tc>
        <w:tc>
          <w:tcPr>
            <w:tcW w:w="1169" w:type="dxa"/>
            <w:noWrap w:val="0"/>
            <w:vAlign w:val="center"/>
          </w:tcPr>
          <w:p w14:paraId="4CB5D857">
            <w:pPr>
              <w:adjustRightInd w:val="0"/>
              <w:snapToGrid w:val="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质量保障方案</w:t>
            </w:r>
          </w:p>
        </w:tc>
        <w:tc>
          <w:tcPr>
            <w:tcW w:w="6010" w:type="dxa"/>
            <w:noWrap w:val="0"/>
            <w:vAlign w:val="top"/>
          </w:tcPr>
          <w:p w14:paraId="350DD0E4">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投标人应根据采购需求，结合项目实际，提供质量保障方案，方案至少应包括但不限于以下内容：①货物质量控制措施②工作流程③设施设备投入使用前安全管理工作。</w:t>
            </w:r>
          </w:p>
          <w:p w14:paraId="501499DD">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1.提供符合采购需求全面详实的有效方案，无缺陷，得6分； </w:t>
            </w:r>
          </w:p>
          <w:p w14:paraId="52B47655">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2.提供符合采购需求较为全面的有效方案，但存在不足，得4分； </w:t>
            </w:r>
          </w:p>
          <w:p w14:paraId="4A1E8A6E">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3.方案内容存在明显缺陷的，得2分；</w:t>
            </w:r>
          </w:p>
          <w:p w14:paraId="31A9C2F7">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4.未提供方案，得0分。</w:t>
            </w:r>
          </w:p>
        </w:tc>
        <w:tc>
          <w:tcPr>
            <w:tcW w:w="664" w:type="dxa"/>
            <w:noWrap w:val="0"/>
            <w:vAlign w:val="center"/>
          </w:tcPr>
          <w:p w14:paraId="5CFB1BF0">
            <w:pPr>
              <w:widowControl/>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6</w:t>
            </w:r>
          </w:p>
        </w:tc>
      </w:tr>
      <w:tr w14:paraId="3A8D1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3" w:type="dxa"/>
            <w:vMerge w:val="continue"/>
            <w:noWrap w:val="0"/>
            <w:vAlign w:val="center"/>
          </w:tcPr>
          <w:p w14:paraId="4741D574">
            <w:pPr>
              <w:adjustRightInd w:val="0"/>
              <w:snapToGrid w:val="0"/>
              <w:jc w:val="center"/>
              <w:rPr>
                <w:rFonts w:hint="eastAsia" w:ascii="仿宋_GB2312" w:hAnsi="仿宋_GB2312" w:eastAsia="仿宋_GB2312" w:cs="仿宋_GB2312"/>
                <w:color w:val="auto"/>
                <w:kern w:val="0"/>
                <w:sz w:val="24"/>
                <w:szCs w:val="24"/>
                <w:highlight w:val="none"/>
              </w:rPr>
            </w:pPr>
          </w:p>
        </w:tc>
        <w:tc>
          <w:tcPr>
            <w:tcW w:w="1169" w:type="dxa"/>
            <w:noWrap w:val="0"/>
            <w:vAlign w:val="center"/>
          </w:tcPr>
          <w:p w14:paraId="34AF8F03">
            <w:pPr>
              <w:adjustRightInd w:val="0"/>
              <w:snapToGrid w:val="0"/>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rPr>
              <w:t>安装调试方案</w:t>
            </w:r>
          </w:p>
        </w:tc>
        <w:tc>
          <w:tcPr>
            <w:tcW w:w="6010" w:type="dxa"/>
            <w:noWrap w:val="0"/>
            <w:vAlign w:val="center"/>
          </w:tcPr>
          <w:p w14:paraId="657E1209">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投标人应根据采购需求，结合项目实际，提供安装调试方案，方案至少应包括但不限于以下内容：①现场安装调试、②现场验收测试、③实施安装人员配置及计划。</w:t>
            </w:r>
          </w:p>
          <w:p w14:paraId="750D4ABA">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1.提供符合采购需求全面详实的有效方案，无缺陷，得5分； </w:t>
            </w:r>
          </w:p>
          <w:p w14:paraId="6E0D87D8">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2.提供符合采购需求较为全面的有效方案，但存在不足，得4分； </w:t>
            </w:r>
          </w:p>
          <w:p w14:paraId="63C91EC2">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3.方案内容存在明显缺陷的，得2分；</w:t>
            </w:r>
          </w:p>
          <w:p w14:paraId="56D47AEE">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4.未提供方案，得0分。</w:t>
            </w:r>
          </w:p>
        </w:tc>
        <w:tc>
          <w:tcPr>
            <w:tcW w:w="664" w:type="dxa"/>
            <w:noWrap w:val="0"/>
            <w:vAlign w:val="center"/>
          </w:tcPr>
          <w:p w14:paraId="2D042C2E">
            <w:pPr>
              <w:widowControl/>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5</w:t>
            </w:r>
          </w:p>
        </w:tc>
      </w:tr>
      <w:tr w14:paraId="1A860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3" w:type="dxa"/>
            <w:vMerge w:val="continue"/>
            <w:noWrap w:val="0"/>
            <w:vAlign w:val="center"/>
          </w:tcPr>
          <w:p w14:paraId="3F549EA7">
            <w:pPr>
              <w:adjustRightInd w:val="0"/>
              <w:snapToGrid w:val="0"/>
              <w:jc w:val="center"/>
              <w:rPr>
                <w:rFonts w:hint="eastAsia" w:ascii="仿宋_GB2312" w:hAnsi="仿宋_GB2312" w:eastAsia="仿宋_GB2312" w:cs="仿宋_GB2312"/>
                <w:color w:val="auto"/>
                <w:kern w:val="0"/>
                <w:sz w:val="24"/>
                <w:szCs w:val="24"/>
                <w:highlight w:val="none"/>
              </w:rPr>
            </w:pPr>
          </w:p>
        </w:tc>
        <w:tc>
          <w:tcPr>
            <w:tcW w:w="1169" w:type="dxa"/>
            <w:noWrap w:val="0"/>
            <w:vAlign w:val="center"/>
          </w:tcPr>
          <w:p w14:paraId="1F490B2E">
            <w:pPr>
              <w:adjustRightInd w:val="0"/>
              <w:snapToGri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培训方案</w:t>
            </w:r>
          </w:p>
        </w:tc>
        <w:tc>
          <w:tcPr>
            <w:tcW w:w="6010" w:type="dxa"/>
            <w:noWrap w:val="0"/>
            <w:vAlign w:val="center"/>
          </w:tcPr>
          <w:p w14:paraId="70DEB970">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投标人应根据采购需求，结合项目实际提供培训方案，方案应包括但不限于以下内容：①培训材料、②培训计划③日常操作使用指南及常见故障解决。</w:t>
            </w:r>
          </w:p>
          <w:p w14:paraId="0346C19C">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1.提供符合采购需求全面详实的有效方案，无缺陷，得5分； </w:t>
            </w:r>
          </w:p>
          <w:p w14:paraId="24B874B4">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2.提供符合采购需求较为全面的有效方案，但存在不足，得4分； </w:t>
            </w:r>
          </w:p>
          <w:p w14:paraId="52A8D811">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3.方案内容存在明显缺陷的，得2分；</w:t>
            </w:r>
          </w:p>
          <w:p w14:paraId="5CC19309">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4.未提供方案，得0分。</w:t>
            </w:r>
          </w:p>
        </w:tc>
        <w:tc>
          <w:tcPr>
            <w:tcW w:w="664" w:type="dxa"/>
            <w:noWrap w:val="0"/>
            <w:vAlign w:val="center"/>
          </w:tcPr>
          <w:p w14:paraId="3BB7576B">
            <w:pPr>
              <w:widowControl/>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5</w:t>
            </w:r>
          </w:p>
        </w:tc>
      </w:tr>
      <w:tr w14:paraId="250B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trPr>
        <w:tc>
          <w:tcPr>
            <w:tcW w:w="1173" w:type="dxa"/>
            <w:vMerge w:val="continue"/>
            <w:noWrap w:val="0"/>
            <w:vAlign w:val="center"/>
          </w:tcPr>
          <w:p w14:paraId="74F978D2">
            <w:pPr>
              <w:adjustRightInd w:val="0"/>
              <w:snapToGrid w:val="0"/>
              <w:jc w:val="center"/>
              <w:rPr>
                <w:rFonts w:hint="eastAsia" w:ascii="仿宋_GB2312" w:hAnsi="仿宋_GB2312" w:eastAsia="仿宋_GB2312" w:cs="仿宋_GB2312"/>
                <w:color w:val="auto"/>
                <w:kern w:val="0"/>
                <w:sz w:val="24"/>
                <w:szCs w:val="24"/>
                <w:highlight w:val="none"/>
              </w:rPr>
            </w:pPr>
          </w:p>
        </w:tc>
        <w:tc>
          <w:tcPr>
            <w:tcW w:w="1169" w:type="dxa"/>
            <w:noWrap w:val="0"/>
            <w:vAlign w:val="center"/>
          </w:tcPr>
          <w:p w14:paraId="073DD9DB">
            <w:pPr>
              <w:widowControl/>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val="en-US" w:eastAsia="zh-CN"/>
              </w:rPr>
              <w:t>售后服务方案</w:t>
            </w:r>
          </w:p>
        </w:tc>
        <w:tc>
          <w:tcPr>
            <w:tcW w:w="6010" w:type="dxa"/>
            <w:noWrap w:val="0"/>
            <w:vAlign w:val="center"/>
          </w:tcPr>
          <w:p w14:paraId="0F95F25D">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投标人应根据采购需求，结合项目实际提供售后服务方案，方案应包括但不限于以下内容：①售后服务体系、②服务内容、③服务形式、④服务承诺。</w:t>
            </w:r>
          </w:p>
          <w:p w14:paraId="6CA3F29D">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1.提供符合采购需求全面详实的有效方案，无缺陷，得5分； </w:t>
            </w:r>
          </w:p>
          <w:p w14:paraId="27120382">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2.提供符合采购需求较为全面的有效方案，但存在不足，得4分； </w:t>
            </w:r>
          </w:p>
          <w:p w14:paraId="7E325BB8">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3.方案内容存在明显缺陷的，得2分；</w:t>
            </w:r>
          </w:p>
          <w:p w14:paraId="7DFDC0FB">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4.未提供方案，得0分。</w:t>
            </w:r>
          </w:p>
        </w:tc>
        <w:tc>
          <w:tcPr>
            <w:tcW w:w="664" w:type="dxa"/>
            <w:noWrap w:val="0"/>
            <w:vAlign w:val="center"/>
          </w:tcPr>
          <w:p w14:paraId="1D05D7AB">
            <w:pPr>
              <w:widowControl/>
              <w:jc w:val="center"/>
              <w:rPr>
                <w:rFonts w:hint="eastAsia" w:ascii="仿宋_GB2312" w:hAnsi="仿宋_GB2312" w:eastAsia="仿宋_GB2312" w:cs="仿宋_GB2312"/>
                <w:color w:val="auto"/>
                <w:kern w:val="0"/>
                <w:sz w:val="24"/>
                <w:szCs w:val="24"/>
                <w:highlight w:val="none"/>
                <w:lang w:val="en-US" w:eastAsia="zh-CN"/>
              </w:rPr>
            </w:pPr>
            <w:r>
              <w:rPr>
                <w:rFonts w:hint="eastAsia" w:ascii="仿宋_GB2312" w:hAnsi="仿宋_GB2312" w:eastAsia="仿宋_GB2312" w:cs="仿宋_GB2312"/>
                <w:color w:val="auto"/>
                <w:kern w:val="0"/>
                <w:sz w:val="24"/>
                <w:szCs w:val="24"/>
                <w:highlight w:val="none"/>
                <w:lang w:val="en-US" w:eastAsia="zh-CN"/>
              </w:rPr>
              <w:t>5</w:t>
            </w:r>
          </w:p>
        </w:tc>
      </w:tr>
      <w:tr w14:paraId="105C4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trPr>
        <w:tc>
          <w:tcPr>
            <w:tcW w:w="1173" w:type="dxa"/>
            <w:noWrap w:val="0"/>
            <w:vAlign w:val="center"/>
          </w:tcPr>
          <w:p w14:paraId="751CF091">
            <w:pPr>
              <w:adjustRightInd w:val="0"/>
              <w:snapToGri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商务部分（</w:t>
            </w:r>
            <w:r>
              <w:rPr>
                <w:rFonts w:hint="eastAsia" w:ascii="仿宋_GB2312" w:hAnsi="仿宋_GB2312" w:eastAsia="仿宋_GB2312" w:cs="仿宋_GB2312"/>
                <w:color w:val="auto"/>
                <w:kern w:val="0"/>
                <w:sz w:val="24"/>
                <w:szCs w:val="24"/>
                <w:highlight w:val="none"/>
                <w:lang w:val="en-US" w:eastAsia="zh-CN"/>
              </w:rPr>
              <w:t>4</w:t>
            </w:r>
            <w:r>
              <w:rPr>
                <w:rFonts w:hint="eastAsia" w:ascii="仿宋_GB2312" w:hAnsi="仿宋_GB2312" w:eastAsia="仿宋_GB2312" w:cs="仿宋_GB2312"/>
                <w:color w:val="auto"/>
                <w:kern w:val="0"/>
                <w:sz w:val="24"/>
                <w:szCs w:val="24"/>
                <w:highlight w:val="none"/>
              </w:rPr>
              <w:t>分）</w:t>
            </w:r>
          </w:p>
        </w:tc>
        <w:tc>
          <w:tcPr>
            <w:tcW w:w="1169" w:type="dxa"/>
            <w:noWrap w:val="0"/>
            <w:vAlign w:val="center"/>
          </w:tcPr>
          <w:p w14:paraId="30D4DE72">
            <w:pPr>
              <w:widowControl/>
              <w:jc w:val="center"/>
              <w:rPr>
                <w:rFonts w:hint="eastAsia"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rPr>
              <w:t>类似业绩</w:t>
            </w:r>
          </w:p>
        </w:tc>
        <w:tc>
          <w:tcPr>
            <w:tcW w:w="6010" w:type="dxa"/>
            <w:noWrap w:val="0"/>
            <w:vAlign w:val="center"/>
          </w:tcPr>
          <w:p w14:paraId="7A6820F2">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评审内容：类似业绩；</w:t>
            </w:r>
          </w:p>
          <w:p w14:paraId="59357662">
            <w:pPr>
              <w:keepNext w:val="0"/>
              <w:keepLines w:val="0"/>
              <w:pageBreakBefore w:val="0"/>
              <w:kinsoku/>
              <w:wordWrap/>
              <w:overflowPunct/>
              <w:topLinePunct w:val="0"/>
              <w:autoSpaceDE/>
              <w:autoSpaceDN/>
              <w:bidi w:val="0"/>
              <w:adjustRightInd w:val="0"/>
              <w:snapToGrid w:val="0"/>
              <w:spacing w:line="440" w:lineRule="exact"/>
              <w:ind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b/>
                <w:bCs/>
                <w:color w:val="auto"/>
                <w:sz w:val="24"/>
                <w:szCs w:val="24"/>
                <w:highlight w:val="none"/>
              </w:rPr>
              <w:t>评审标准：</w:t>
            </w:r>
            <w:r>
              <w:rPr>
                <w:rFonts w:hint="eastAsia" w:ascii="仿宋_GB2312" w:hAnsi="仿宋_GB2312" w:eastAsia="仿宋_GB2312" w:cs="仿宋_GB2312"/>
                <w:color w:val="auto"/>
                <w:sz w:val="24"/>
                <w:szCs w:val="24"/>
                <w:highlight w:val="none"/>
              </w:rPr>
              <w:t>提供202</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月1日至今</w:t>
            </w:r>
            <w:r>
              <w:rPr>
                <w:rFonts w:hint="eastAsia" w:ascii="仿宋_GB2312" w:hAnsi="仿宋_GB2312" w:eastAsia="仿宋_GB2312" w:cs="仿宋_GB2312"/>
                <w:color w:val="auto"/>
                <w:sz w:val="24"/>
                <w:szCs w:val="24"/>
                <w:highlight w:val="none"/>
                <w:lang w:val="en-US" w:eastAsia="zh-CN"/>
              </w:rPr>
              <w:t>类似项目业绩</w:t>
            </w:r>
            <w:r>
              <w:rPr>
                <w:rFonts w:hint="eastAsia" w:ascii="仿宋_GB2312" w:hAnsi="仿宋_GB2312" w:eastAsia="仿宋_GB2312" w:cs="仿宋_GB2312"/>
                <w:color w:val="auto"/>
                <w:sz w:val="24"/>
                <w:szCs w:val="24"/>
                <w:highlight w:val="none"/>
              </w:rPr>
              <w:t>，每提供一项得</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分，满分为</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分。</w:t>
            </w:r>
          </w:p>
          <w:p w14:paraId="74924F3C">
            <w:pPr>
              <w:keepNext w:val="0"/>
              <w:keepLines w:val="0"/>
              <w:pageBreakBefore w:val="0"/>
              <w:kinsoku/>
              <w:wordWrap/>
              <w:overflowPunct/>
              <w:topLinePunct w:val="0"/>
              <w:autoSpaceDE/>
              <w:autoSpaceDN/>
              <w:bidi w:val="0"/>
              <w:adjustRightInd w:val="0"/>
              <w:snapToGrid/>
              <w:spacing w:line="440" w:lineRule="exact"/>
              <w:ind w:firstLine="480" w:firstLineChars="200"/>
              <w:jc w:val="left"/>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2"/>
                <w:sz w:val="24"/>
                <w:szCs w:val="24"/>
                <w:highlight w:val="none"/>
                <w:lang w:val="en-US" w:eastAsia="zh-CN" w:bidi="ar-SA"/>
              </w:rPr>
              <w:t>注：业绩时间以合同签订时间为准，提供有效合同复印件加盖投标人公章，未提供或不满足不得分。</w:t>
            </w:r>
          </w:p>
        </w:tc>
        <w:tc>
          <w:tcPr>
            <w:tcW w:w="664" w:type="dxa"/>
            <w:noWrap w:val="0"/>
            <w:vAlign w:val="center"/>
          </w:tcPr>
          <w:p w14:paraId="73C75E37">
            <w:pPr>
              <w:widowControl/>
              <w:jc w:val="center"/>
              <w:rPr>
                <w:rFonts w:hint="default" w:ascii="仿宋_GB2312" w:hAnsi="仿宋_GB2312" w:eastAsia="仿宋_GB2312" w:cs="仿宋_GB2312"/>
                <w:color w:val="auto"/>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rPr>
              <w:t>4</w:t>
            </w:r>
          </w:p>
        </w:tc>
      </w:tr>
      <w:tr w14:paraId="522C8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8" w:hRule="atLeast"/>
        </w:trPr>
        <w:tc>
          <w:tcPr>
            <w:tcW w:w="2342" w:type="dxa"/>
            <w:gridSpan w:val="2"/>
            <w:noWrap w:val="0"/>
            <w:vAlign w:val="center"/>
          </w:tcPr>
          <w:p w14:paraId="7D5B7C01">
            <w:pPr>
              <w:widowControl/>
              <w:adjustRightInd w:val="0"/>
              <w:snapToGri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合计</w:t>
            </w:r>
          </w:p>
        </w:tc>
        <w:tc>
          <w:tcPr>
            <w:tcW w:w="6674" w:type="dxa"/>
            <w:gridSpan w:val="2"/>
            <w:noWrap w:val="0"/>
            <w:vAlign w:val="center"/>
          </w:tcPr>
          <w:p w14:paraId="0AA3E22A">
            <w:pPr>
              <w:widowControl/>
              <w:adjustRightInd w:val="0"/>
              <w:snapToGrid w:val="0"/>
              <w:jc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100</w:t>
            </w:r>
          </w:p>
        </w:tc>
      </w:tr>
    </w:tbl>
    <w:p w14:paraId="5087AF2A">
      <w:pPr>
        <w:spacing w:line="360" w:lineRule="auto"/>
        <w:ind w:firstLine="480" w:firstLineChars="200"/>
        <w:outlineLvl w:val="9"/>
        <w:rPr>
          <w:rFonts w:hint="eastAsia" w:ascii="仿宋_GB2312" w:eastAsia="仿宋_GB2312"/>
          <w:b/>
          <w:color w:val="auto"/>
          <w:sz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注：缺陷是指方案内容与项目需求不一致、存在相互矛盾内容以及未针对本项目编写的任意一种情形。不符合项目需求是指存在与本项目执行无关的内容、存在相关内容在实际操作中不能运用的任意一种情形。</w:t>
      </w:r>
    </w:p>
    <w:p w14:paraId="3CF3F42B">
      <w:pPr>
        <w:rPr>
          <w:rFonts w:ascii="仿宋_GB2312" w:hAnsi="仿宋" w:eastAsia="仿宋_GB2312" w:cs="仿宋_GB2312"/>
          <w:b/>
          <w:color w:val="auto"/>
          <w:sz w:val="24"/>
          <w:highlight w:val="none"/>
        </w:rPr>
      </w:pPr>
      <w:r>
        <w:rPr>
          <w:rFonts w:hint="eastAsia" w:ascii="仿宋_GB2312" w:eastAsia="仿宋_GB2312"/>
          <w:b/>
          <w:color w:val="auto"/>
          <w:sz w:val="24"/>
          <w:highlight w:val="none"/>
          <w:lang w:val="en-US" w:eastAsia="zh-CN"/>
        </w:rPr>
        <w:t>（二</w:t>
      </w:r>
      <w:r>
        <w:rPr>
          <w:rFonts w:hint="eastAsia" w:ascii="仿宋_GB2312" w:eastAsia="仿宋_GB2312"/>
          <w:b/>
          <w:color w:val="auto"/>
          <w:sz w:val="24"/>
          <w:highlight w:val="none"/>
          <w:lang w:eastAsia="zh-CN"/>
        </w:rPr>
        <w:t>）</w:t>
      </w:r>
      <w:r>
        <w:rPr>
          <w:rFonts w:hint="eastAsia" w:ascii="仿宋_GB2312" w:hAnsi="仿宋" w:eastAsia="仿宋_GB2312" w:cs="仿宋_GB2312"/>
          <w:b/>
          <w:color w:val="auto"/>
          <w:sz w:val="24"/>
          <w:highlight w:val="none"/>
        </w:rPr>
        <w:t>加分项评分标准</w:t>
      </w:r>
    </w:p>
    <w:tbl>
      <w:tblPr>
        <w:tblStyle w:val="25"/>
        <w:tblW w:w="9012" w:type="dxa"/>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128"/>
      </w:tblGrid>
      <w:tr w14:paraId="3A28D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884" w:type="dxa"/>
            <w:vAlign w:val="center"/>
          </w:tcPr>
          <w:p w14:paraId="0BEBB5F4">
            <w:pPr>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加分</w:t>
            </w:r>
          </w:p>
          <w:p w14:paraId="03242060">
            <w:pPr>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因素</w:t>
            </w:r>
          </w:p>
        </w:tc>
        <w:tc>
          <w:tcPr>
            <w:tcW w:w="8128" w:type="dxa"/>
            <w:vAlign w:val="center"/>
          </w:tcPr>
          <w:p w14:paraId="2423EE08">
            <w:pPr>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加分说明</w:t>
            </w:r>
          </w:p>
        </w:tc>
      </w:tr>
      <w:tr w14:paraId="2081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atLeast"/>
        </w:trPr>
        <w:tc>
          <w:tcPr>
            <w:tcW w:w="884" w:type="dxa"/>
            <w:vAlign w:val="center"/>
          </w:tcPr>
          <w:p w14:paraId="53C6CE7E">
            <w:pPr>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节能</w:t>
            </w:r>
            <w:r>
              <w:rPr>
                <w:rFonts w:hint="eastAsia" w:ascii="仿宋_GB2312" w:hAnsi="仿宋_GB2312" w:eastAsia="仿宋_GB2312" w:cs="仿宋_GB2312"/>
                <w:color w:val="auto"/>
                <w:sz w:val="24"/>
                <w:highlight w:val="none"/>
              </w:rPr>
              <w:t>产品</w:t>
            </w:r>
          </w:p>
        </w:tc>
        <w:tc>
          <w:tcPr>
            <w:tcW w:w="8128" w:type="dxa"/>
            <w:vAlign w:val="center"/>
          </w:tcPr>
          <w:p w14:paraId="0A0D072F">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对于《获得节能认证产品部分报价表》中的投标产品价格给予价格部分总分值</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5</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%的加分，计算公式如下：</w:t>
            </w:r>
          </w:p>
          <w:p w14:paraId="6A7A77F7">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 w:eastAsia="仿宋_GB2312"/>
                <w:color w:val="auto"/>
                <w:sz w:val="24"/>
                <w:highlight w:val="none"/>
              </w:rPr>
            </w:pPr>
            <w:r>
              <w:rPr>
                <w:rFonts w:hint="eastAsia" w:ascii="仿宋_GB2312" w:hAnsi="仿宋" w:eastAsia="仿宋_GB2312"/>
                <w:color w:val="auto"/>
                <w:sz w:val="24"/>
                <w:highlight w:val="none"/>
              </w:rPr>
              <w:t>节能产品加分＝（节能产品投标报价之和/投标总价）×价格部分总分值×</w:t>
            </w:r>
            <w:r>
              <w:rPr>
                <w:rFonts w:hint="eastAsia" w:ascii="仿宋_GB2312" w:hAnsi="仿宋" w:eastAsia="仿宋_GB2312"/>
                <w:color w:val="auto"/>
                <w:sz w:val="24"/>
                <w:highlight w:val="none"/>
                <w:u w:val="single"/>
              </w:rPr>
              <w:t xml:space="preserve"> </w:t>
            </w:r>
            <w:r>
              <w:rPr>
                <w:rFonts w:hint="eastAsia" w:ascii="仿宋_GB2312" w:eastAsia="仿宋_GB2312"/>
                <w:color w:val="auto"/>
                <w:sz w:val="24"/>
                <w:highlight w:val="none"/>
                <w:u w:val="single"/>
                <w:lang w:val="en-US" w:eastAsia="zh-CN"/>
              </w:rPr>
              <w:t>5</w:t>
            </w:r>
            <w:r>
              <w:rPr>
                <w:rFonts w:hint="eastAsia"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rPr>
              <w:t>%。</w:t>
            </w:r>
            <w:r>
              <w:rPr>
                <w:rFonts w:hint="eastAsia" w:ascii="仿宋_GB2312" w:hAnsi="仿宋" w:eastAsia="仿宋_GB2312"/>
                <w:b/>
                <w:color w:val="auto"/>
                <w:sz w:val="24"/>
                <w:highlight w:val="none"/>
              </w:rPr>
              <w:t>注：强制节能产品除外。</w:t>
            </w:r>
          </w:p>
        </w:tc>
      </w:tr>
      <w:tr w14:paraId="29FF7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884" w:type="dxa"/>
            <w:vAlign w:val="center"/>
          </w:tcPr>
          <w:p w14:paraId="517B7A94">
            <w:pPr>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环保</w:t>
            </w:r>
            <w:r>
              <w:rPr>
                <w:rFonts w:hint="eastAsia" w:ascii="仿宋_GB2312" w:hAnsi="仿宋_GB2312" w:eastAsia="仿宋_GB2312" w:cs="仿宋_GB2312"/>
                <w:color w:val="auto"/>
                <w:sz w:val="24"/>
                <w:highlight w:val="none"/>
              </w:rPr>
              <w:t>产品</w:t>
            </w:r>
          </w:p>
        </w:tc>
        <w:tc>
          <w:tcPr>
            <w:tcW w:w="8128" w:type="dxa"/>
            <w:vAlign w:val="center"/>
          </w:tcPr>
          <w:p w14:paraId="4CD1C4F6">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对于《获得环保认证产品部分报价表》中的投标产品价格给予价格部分总分值</w:t>
            </w:r>
            <w:r>
              <w:rPr>
                <w:rFonts w:hint="eastAsia" w:eastAsia="仿宋_GB2312"/>
                <w:color w:val="auto"/>
                <w:sz w:val="24"/>
                <w:highlight w:val="none"/>
                <w:u w:val="single"/>
              </w:rPr>
              <w:t xml:space="preserve"> </w:t>
            </w:r>
            <w:r>
              <w:rPr>
                <w:rFonts w:hint="eastAsia" w:ascii="仿宋_GB2312" w:hAnsi="仿宋" w:eastAsia="仿宋_GB2312"/>
                <w:color w:val="auto"/>
                <w:kern w:val="0"/>
                <w:sz w:val="24"/>
                <w:highlight w:val="none"/>
                <w:u w:val="single"/>
                <w:lang w:val="en-US" w:eastAsia="zh-CN"/>
              </w:rPr>
              <w:t>5</w:t>
            </w:r>
            <w:r>
              <w:rPr>
                <w:rFonts w:ascii="仿宋_GB2312" w:hAnsi="仿宋" w:eastAsia="仿宋_GB2312"/>
                <w:color w:val="auto"/>
                <w:kern w:val="0"/>
                <w:sz w:val="24"/>
                <w:highlight w:val="none"/>
                <w:u w:val="single"/>
              </w:rPr>
              <w:t xml:space="preserve"> </w:t>
            </w:r>
            <w:r>
              <w:rPr>
                <w:rFonts w:hint="eastAsia" w:ascii="仿宋_GB2312" w:hAnsi="仿宋" w:eastAsia="仿宋_GB2312"/>
                <w:color w:val="auto"/>
                <w:sz w:val="24"/>
                <w:highlight w:val="none"/>
              </w:rPr>
              <w:t>%的加分，计算公式如下：</w:t>
            </w:r>
          </w:p>
          <w:p w14:paraId="7AD95E21">
            <w:pPr>
              <w:keepNext w:val="0"/>
              <w:keepLines w:val="0"/>
              <w:pageBreakBefore w:val="0"/>
              <w:widowControl w:val="0"/>
              <w:kinsoku/>
              <w:wordWrap/>
              <w:overflowPunct/>
              <w:topLinePunct w:val="0"/>
              <w:autoSpaceDE/>
              <w:autoSpaceDN/>
              <w:bidi w:val="0"/>
              <w:adjustRightInd/>
              <w:snapToGrid w:val="0"/>
              <w:spacing w:line="288" w:lineRule="auto"/>
              <w:textAlignment w:val="auto"/>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环保产品加分＝（环保产品投标报价之和/投标总价）×价格部分总分值×</w:t>
            </w:r>
            <w:r>
              <w:rPr>
                <w:rFonts w:ascii="仿宋_GB2312" w:hAnsi="仿宋" w:eastAsia="仿宋_GB2312"/>
                <w:color w:val="auto"/>
                <w:sz w:val="24"/>
                <w:highlight w:val="none"/>
                <w:u w:val="single"/>
              </w:rPr>
              <w:t xml:space="preserve"> </w:t>
            </w:r>
            <w:r>
              <w:rPr>
                <w:rFonts w:hint="eastAsia" w:ascii="仿宋_GB2312" w:hAnsi="仿宋" w:eastAsia="仿宋_GB2312"/>
                <w:color w:val="auto"/>
                <w:sz w:val="24"/>
                <w:highlight w:val="none"/>
                <w:u w:val="single"/>
                <w:lang w:val="en-US" w:eastAsia="zh-CN"/>
              </w:rPr>
              <w:t xml:space="preserve">5 </w:t>
            </w:r>
            <w:r>
              <w:rPr>
                <w:rFonts w:hint="eastAsia" w:ascii="仿宋_GB2312" w:hAnsi="仿宋" w:eastAsia="仿宋_GB2312"/>
                <w:color w:val="auto"/>
                <w:sz w:val="24"/>
                <w:highlight w:val="none"/>
              </w:rPr>
              <w:t>%。</w:t>
            </w:r>
          </w:p>
        </w:tc>
      </w:tr>
    </w:tbl>
    <w:p w14:paraId="373645BD">
      <w:pPr>
        <w:wordWrap w:val="0"/>
        <w:adjustRightInd w:val="0"/>
        <w:snapToGrid w:val="0"/>
        <w:spacing w:line="360" w:lineRule="auto"/>
        <w:ind w:right="241"/>
        <w:rPr>
          <w:rFonts w:ascii="仿宋_GB2312" w:hAnsi="仿宋" w:eastAsia="仿宋_GB2312" w:cs="仿宋_GB2312"/>
          <w:color w:val="auto"/>
          <w:szCs w:val="21"/>
          <w:highlight w:val="none"/>
        </w:rPr>
        <w:sectPr>
          <w:pgSz w:w="11906" w:h="16838"/>
          <w:pgMar w:top="1468" w:right="1803" w:bottom="1276" w:left="1803" w:header="851" w:footer="901" w:gutter="0"/>
          <w:pgBorders>
            <w:top w:val="none" w:sz="0" w:space="0"/>
            <w:left w:val="none" w:sz="0" w:space="0"/>
            <w:bottom w:val="none" w:sz="0" w:space="0"/>
            <w:right w:val="none" w:sz="0" w:space="0"/>
          </w:pgBorders>
          <w:cols w:space="0" w:num="1"/>
          <w:rtlGutter w:val="0"/>
          <w:docGrid w:type="linesAndChars" w:linePitch="319" w:charSpace="0"/>
        </w:sectPr>
      </w:pPr>
    </w:p>
    <w:p w14:paraId="7DA460FC">
      <w:pPr>
        <w:rPr>
          <w:color w:val="auto"/>
          <w:highlight w:val="none"/>
        </w:rPr>
      </w:pPr>
      <w:bookmarkStart w:id="150" w:name="_Toc25922_WPSOffice_Level1"/>
      <w:bookmarkStart w:id="151" w:name="_Toc111013455"/>
    </w:p>
    <w:p w14:paraId="3848BC46">
      <w:pPr>
        <w:rPr>
          <w:color w:val="auto"/>
          <w:highlight w:val="none"/>
        </w:rPr>
      </w:pPr>
    </w:p>
    <w:p w14:paraId="559B73A9">
      <w:pPr>
        <w:rPr>
          <w:color w:val="auto"/>
          <w:highlight w:val="none"/>
        </w:rPr>
      </w:pPr>
    </w:p>
    <w:p w14:paraId="54C388A8">
      <w:pPr>
        <w:rPr>
          <w:color w:val="auto"/>
          <w:highlight w:val="none"/>
        </w:rPr>
      </w:pPr>
    </w:p>
    <w:p w14:paraId="7F69AC3C">
      <w:pPr>
        <w:pStyle w:val="7"/>
        <w:rPr>
          <w:color w:val="auto"/>
          <w:highlight w:val="none"/>
        </w:rPr>
      </w:pPr>
    </w:p>
    <w:p w14:paraId="631309F0">
      <w:pPr>
        <w:pStyle w:val="7"/>
        <w:rPr>
          <w:color w:val="auto"/>
          <w:highlight w:val="none"/>
        </w:rPr>
      </w:pPr>
    </w:p>
    <w:p w14:paraId="20E33FAE">
      <w:pPr>
        <w:pStyle w:val="7"/>
        <w:rPr>
          <w:color w:val="auto"/>
          <w:highlight w:val="none"/>
        </w:rPr>
      </w:pPr>
    </w:p>
    <w:p w14:paraId="763C8D63">
      <w:pPr>
        <w:pStyle w:val="7"/>
        <w:rPr>
          <w:color w:val="auto"/>
          <w:highlight w:val="none"/>
        </w:rPr>
      </w:pPr>
    </w:p>
    <w:p w14:paraId="0E0ED741">
      <w:pPr>
        <w:pStyle w:val="7"/>
        <w:rPr>
          <w:color w:val="auto"/>
          <w:highlight w:val="none"/>
        </w:rPr>
      </w:pPr>
    </w:p>
    <w:p w14:paraId="213906D1">
      <w:pPr>
        <w:pStyle w:val="7"/>
        <w:rPr>
          <w:color w:val="auto"/>
          <w:highlight w:val="none"/>
        </w:rPr>
      </w:pPr>
    </w:p>
    <w:p w14:paraId="2E06E139">
      <w:pPr>
        <w:pStyle w:val="7"/>
        <w:rPr>
          <w:color w:val="auto"/>
          <w:highlight w:val="none"/>
        </w:rPr>
      </w:pPr>
    </w:p>
    <w:p w14:paraId="2E846C2C">
      <w:pPr>
        <w:pStyle w:val="7"/>
        <w:rPr>
          <w:color w:val="auto"/>
          <w:highlight w:val="none"/>
        </w:rPr>
      </w:pPr>
    </w:p>
    <w:p w14:paraId="52AABEA7">
      <w:pPr>
        <w:pStyle w:val="7"/>
        <w:rPr>
          <w:color w:val="auto"/>
          <w:highlight w:val="none"/>
        </w:rPr>
      </w:pPr>
    </w:p>
    <w:p w14:paraId="2922AC9D">
      <w:pPr>
        <w:pStyle w:val="7"/>
        <w:ind w:firstLine="0" w:firstLineChars="0"/>
        <w:rPr>
          <w:color w:val="auto"/>
          <w:highlight w:val="none"/>
        </w:rPr>
      </w:pPr>
    </w:p>
    <w:p w14:paraId="490D7E8A">
      <w:pPr>
        <w:pStyle w:val="2"/>
        <w:adjustRightInd w:val="0"/>
        <w:snapToGrid w:val="0"/>
        <w:spacing w:before="319" w:beforeLines="100" w:after="319" w:afterLines="100"/>
        <w:rPr>
          <w:rFonts w:ascii="方正小标宋简体" w:hAnsi="仿宋" w:eastAsia="方正小标宋简体" w:cs="仿宋_GB2312"/>
          <w:b w:val="0"/>
          <w:bCs/>
          <w:color w:val="auto"/>
          <w:highlight w:val="none"/>
        </w:rPr>
      </w:pPr>
      <w:bookmarkStart w:id="152" w:name="_Toc26852"/>
      <w:r>
        <w:rPr>
          <w:rFonts w:hint="eastAsia" w:ascii="方正小标宋简体" w:hAnsi="仿宋" w:eastAsia="方正小标宋简体" w:cs="仿宋_GB2312"/>
          <w:b w:val="0"/>
          <w:bCs/>
          <w:color w:val="auto"/>
          <w:highlight w:val="none"/>
        </w:rPr>
        <w:t>第五章 政府采购合同条款</w:t>
      </w:r>
      <w:bookmarkEnd w:id="150"/>
      <w:r>
        <w:rPr>
          <w:rFonts w:hint="eastAsia" w:ascii="方正小标宋简体" w:hAnsi="仿宋" w:eastAsia="方正小标宋简体" w:cs="仿宋_GB2312"/>
          <w:b w:val="0"/>
          <w:bCs/>
          <w:color w:val="auto"/>
          <w:highlight w:val="none"/>
        </w:rPr>
        <w:t>及格式</w:t>
      </w:r>
      <w:bookmarkEnd w:id="151"/>
      <w:bookmarkEnd w:id="152"/>
    </w:p>
    <w:p w14:paraId="62180774">
      <w:pPr>
        <w:rPr>
          <w:rFonts w:ascii="仿宋_GB2312" w:hAnsi="仿宋" w:eastAsia="仿宋_GB2312" w:cs="仿宋_GB2312"/>
          <w:color w:val="auto"/>
          <w:highlight w:val="none"/>
        </w:rPr>
      </w:pPr>
    </w:p>
    <w:p w14:paraId="664355E5">
      <w:pPr>
        <w:rPr>
          <w:rFonts w:ascii="仿宋_GB2312" w:hAnsi="仿宋" w:eastAsia="仿宋_GB2312" w:cs="仿宋_GB2312"/>
          <w:color w:val="auto"/>
          <w:highlight w:val="none"/>
        </w:rPr>
      </w:pPr>
    </w:p>
    <w:p w14:paraId="6D8B81E9">
      <w:pPr>
        <w:pStyle w:val="3"/>
        <w:adjustRightInd w:val="0"/>
        <w:snapToGrid w:val="0"/>
        <w:spacing w:before="0" w:after="0" w:line="240" w:lineRule="auto"/>
        <w:jc w:val="left"/>
        <w:rPr>
          <w:rFonts w:ascii="仿宋_GB2312" w:hAnsi="仿宋" w:eastAsia="仿宋_GB2312" w:cs="仿宋_GB2312"/>
          <w:color w:val="auto"/>
          <w:szCs w:val="28"/>
          <w:highlight w:val="none"/>
        </w:rPr>
      </w:pPr>
      <w:bookmarkStart w:id="153" w:name="_Toc23704_WPSOffice_Level1"/>
      <w:r>
        <w:rPr>
          <w:rFonts w:hint="eastAsia" w:ascii="仿宋_GB2312" w:hAnsi="仿宋" w:eastAsia="仿宋_GB2312" w:cs="仿宋_GB2312"/>
          <w:color w:val="auto"/>
          <w:szCs w:val="28"/>
          <w:highlight w:val="none"/>
        </w:rPr>
        <w:br w:type="page"/>
      </w:r>
      <w:r>
        <w:rPr>
          <w:rFonts w:hint="eastAsia" w:ascii="仿宋_GB2312" w:hAnsi="仿宋" w:eastAsia="仿宋_GB2312" w:cs="仿宋_GB2312"/>
          <w:color w:val="auto"/>
          <w:szCs w:val="28"/>
          <w:highlight w:val="none"/>
        </w:rPr>
        <w:t>合同条款</w:t>
      </w:r>
    </w:p>
    <w:p w14:paraId="430B07B5">
      <w:pPr>
        <w:spacing w:before="319" w:beforeLines="100" w:after="319" w:afterLines="100" w:line="480" w:lineRule="exact"/>
        <w:jc w:val="center"/>
        <w:rPr>
          <w:rFonts w:ascii="方正小标宋简体" w:hAnsi="仿宋" w:eastAsia="方正小标宋简体" w:cs="仿宋_GB2312"/>
          <w:color w:val="auto"/>
          <w:sz w:val="32"/>
          <w:szCs w:val="32"/>
          <w:highlight w:val="none"/>
        </w:rPr>
      </w:pPr>
      <w:bookmarkStart w:id="154" w:name="_Toc30224_WPSOffice_Level1"/>
      <w:r>
        <w:rPr>
          <w:rFonts w:hint="eastAsia" w:ascii="方正小标宋简体" w:hAnsi="仿宋" w:eastAsia="方正小标宋简体" w:cs="仿宋_GB2312"/>
          <w:color w:val="auto"/>
          <w:sz w:val="32"/>
          <w:szCs w:val="32"/>
          <w:highlight w:val="none"/>
        </w:rPr>
        <w:t>政府采购合同条款</w:t>
      </w:r>
      <w:bookmarkEnd w:id="154"/>
    </w:p>
    <w:p w14:paraId="4C53FCC0">
      <w:pPr>
        <w:adjustRightInd w:val="0"/>
        <w:snapToGrid w:val="0"/>
        <w:spacing w:line="360" w:lineRule="auto"/>
        <w:ind w:firstLine="411" w:firstLineChars="196"/>
        <w:rPr>
          <w:rFonts w:ascii="仿宋_GB2312" w:hAnsi="仿宋" w:eastAsia="仿宋_GB2312"/>
          <w:b/>
          <w:bCs/>
          <w:color w:val="auto"/>
          <w:szCs w:val="21"/>
          <w:highlight w:val="none"/>
        </w:rPr>
      </w:pPr>
      <w:bookmarkStart w:id="155" w:name="_Toc25596_WPSOffice_Level1"/>
      <w:bookmarkStart w:id="156" w:name="_Toc398_WPSOffice_Level1"/>
      <w:bookmarkStart w:id="157" w:name="_Toc10117_WPSOffice_Level1"/>
      <w:r>
        <w:rPr>
          <w:rFonts w:hint="eastAsia" w:ascii="仿宋_GB2312" w:hAnsi="仿宋" w:eastAsia="仿宋_GB2312"/>
          <w:b/>
          <w:bCs/>
          <w:color w:val="auto"/>
          <w:szCs w:val="21"/>
          <w:highlight w:val="none"/>
        </w:rPr>
        <w:t>1.术语定义</w:t>
      </w:r>
      <w:bookmarkEnd w:id="155"/>
      <w:bookmarkEnd w:id="156"/>
      <w:bookmarkEnd w:id="157"/>
    </w:p>
    <w:p w14:paraId="1C9EF6D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本政府采购合同下列术语应解释为：</w:t>
      </w:r>
    </w:p>
    <w:p w14:paraId="341BEAD4">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1.1“政府采购合同”指供需双方依照政府采购程序、按照招标文件、投标文件确定的事项所达成的协议，包括附件、附录和上述文件所提到的构成政府采购合同的所有文件。</w:t>
      </w:r>
    </w:p>
    <w:p w14:paraId="5E419FFE">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1.2“政府采购合同价”指根据合同约定供方在正确地完全履行政府采购合同义务后，需方应支付给供方的价格。</w:t>
      </w:r>
    </w:p>
    <w:p w14:paraId="797EE0A4">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政府采购合同货物”指政府采购合同货物清单（同投标文件中开标一览表及其附表，下同）中所约定的各种形态和种类的物品，包括原材料、燃料、设备、产品、硬件、软件、安装材料、备件及专用器具、文件资料等内容。</w:t>
      </w:r>
    </w:p>
    <w:p w14:paraId="7C185FAC">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1.4“服务”指根据政府采购合同约定供方应承担的与供货有关的伴随服务，包括（但不限于）政府采购合同货物的运输、保险、安装、测试、调试、培训、维修、提供技术指导和支持、保修期外的维护以及其它类似的义务。</w:t>
      </w:r>
    </w:p>
    <w:p w14:paraId="22996593">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1.5“需方”指项目基本内容及要求中所述取得货物和服务的采购人。</w:t>
      </w:r>
    </w:p>
    <w:p w14:paraId="45676D23">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1.6“供方”指项目基本内容及要求中所述提供产品和服务的中标人。</w:t>
      </w:r>
    </w:p>
    <w:p w14:paraId="7A6D6E54">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1.7“检验”指需方或者需方的最终用户收货后，按照本政府采购合同约定的标准对政府采购合同货物进行的检测与查验。</w:t>
      </w:r>
    </w:p>
    <w:p w14:paraId="0184AF08">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1.8“验收书”指需方对供方履行政府采购合同情况及结果进行现场检验和评估意见的文件。</w:t>
      </w:r>
    </w:p>
    <w:p w14:paraId="10C522B6">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1.9“技术资料”指安装、调试、使用、维修政府采购合同货物所应具备的产品使用说明书和、或使用指南、操作手册、维修指南、服务手册、电路图、产品演示等文件及音像资料。</w:t>
      </w:r>
    </w:p>
    <w:p w14:paraId="5DC7520B">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1.10“保修期”指自验收书签署之日起，供方以自担费用方式保证政府采购合同货物正常运行的时期。</w:t>
      </w:r>
    </w:p>
    <w:p w14:paraId="256AFB13">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1.11“第三人”是指本政府采购合同双方以外的任何中国境内外的自然人、法人或其它经济组织。</w:t>
      </w:r>
    </w:p>
    <w:p w14:paraId="74FD763B">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1.12“法律、法规”是指由中国各级政府及有关部门制定的法律、行政法规、地方性法规、规章及其它规范性文件的有关规定。</w:t>
      </w:r>
    </w:p>
    <w:p w14:paraId="7133DFC9">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1.13“招标文件”指采购人或者采购组织机构发布的招标文件。</w:t>
      </w:r>
    </w:p>
    <w:p w14:paraId="6F9AAF51">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1.14“投标文件”指供方按照采购组织机构招标文件的要求编制和递交，并最终被评标委员会接受的投标文件。</w:t>
      </w:r>
    </w:p>
    <w:p w14:paraId="41564A47">
      <w:pPr>
        <w:ind w:firstLine="420" w:firstLineChars="200"/>
        <w:rPr>
          <w:rFonts w:ascii="仿宋_GB2312" w:hAnsi="仿宋" w:eastAsia="仿宋_GB2312"/>
          <w:color w:val="auto"/>
          <w:highlight w:val="none"/>
        </w:rPr>
      </w:pPr>
      <w:bookmarkStart w:id="158" w:name="_Toc750_WPSOffice_Level1"/>
      <w:bookmarkStart w:id="159" w:name="_Toc29737_WPSOffice_Level1"/>
      <w:bookmarkStart w:id="160" w:name="_Toc22454_WPSOffice_Level1"/>
      <w:r>
        <w:rPr>
          <w:rFonts w:hint="eastAsia" w:ascii="仿宋_GB2312" w:hAnsi="仿宋" w:eastAsia="仿宋_GB2312"/>
          <w:color w:val="auto"/>
          <w:highlight w:val="none"/>
        </w:rPr>
        <w:t>2.技术指标</w:t>
      </w:r>
      <w:bookmarkEnd w:id="158"/>
      <w:bookmarkEnd w:id="159"/>
      <w:bookmarkEnd w:id="160"/>
    </w:p>
    <w:p w14:paraId="15C517D9">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2.1交付产品的技术指标应与招标文件规定的技术指标要求及投标文件中的“技术规格偏离表及商务条款偏离表”的承诺内容相一致。</w:t>
      </w:r>
    </w:p>
    <w:p w14:paraId="0A3D0451">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2.2 除技术指标另有规定外，计量单位应该使用公制。</w:t>
      </w:r>
    </w:p>
    <w:p w14:paraId="414958AD">
      <w:pPr>
        <w:adjustRightInd w:val="0"/>
        <w:snapToGrid w:val="0"/>
        <w:spacing w:line="360" w:lineRule="auto"/>
        <w:ind w:firstLine="411" w:firstLineChars="196"/>
        <w:rPr>
          <w:rFonts w:ascii="仿宋_GB2312" w:hAnsi="仿宋" w:eastAsia="仿宋_GB2312"/>
          <w:b/>
          <w:color w:val="auto"/>
          <w:szCs w:val="21"/>
          <w:highlight w:val="none"/>
        </w:rPr>
      </w:pPr>
      <w:bookmarkStart w:id="161" w:name="_Toc17648_WPSOffice_Level1"/>
      <w:bookmarkStart w:id="162" w:name="_Toc1538_WPSOffice_Level1"/>
      <w:bookmarkStart w:id="163" w:name="_Toc19640_WPSOffice_Level1"/>
      <w:r>
        <w:rPr>
          <w:rFonts w:hint="eastAsia" w:ascii="仿宋_GB2312" w:hAnsi="仿宋" w:eastAsia="仿宋_GB2312"/>
          <w:b/>
          <w:color w:val="auto"/>
          <w:szCs w:val="21"/>
          <w:highlight w:val="none"/>
        </w:rPr>
        <w:t>3.交货</w:t>
      </w:r>
      <w:bookmarkEnd w:id="161"/>
      <w:bookmarkEnd w:id="162"/>
      <w:bookmarkEnd w:id="163"/>
    </w:p>
    <w:p w14:paraId="6E6E5BBB">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3.1供方按照合同约定的时间、地点交货</w:t>
      </w:r>
    </w:p>
    <w:p w14:paraId="497D59C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3.2供方交货的同时应提交下列文件：销售发票，制造厂商出具的质量检验证书、产品合格证以及招标文件、投标文件确定供方应随货物同时提供的其他资料。</w:t>
      </w:r>
    </w:p>
    <w:p w14:paraId="2B03FC99">
      <w:pPr>
        <w:adjustRightInd w:val="0"/>
        <w:snapToGrid w:val="0"/>
        <w:spacing w:line="360" w:lineRule="auto"/>
        <w:ind w:firstLine="411" w:firstLineChars="196"/>
        <w:rPr>
          <w:rFonts w:ascii="仿宋_GB2312" w:hAnsi="仿宋" w:eastAsia="仿宋_GB2312"/>
          <w:b/>
          <w:color w:val="auto"/>
          <w:szCs w:val="21"/>
          <w:highlight w:val="none"/>
        </w:rPr>
      </w:pPr>
      <w:bookmarkStart w:id="164" w:name="_Toc1266_WPSOffice_Level1"/>
      <w:bookmarkStart w:id="165" w:name="_Toc11745_WPSOffice_Level1"/>
      <w:bookmarkStart w:id="166" w:name="_Toc15048_WPSOffice_Level1"/>
      <w:r>
        <w:rPr>
          <w:rFonts w:hint="eastAsia" w:ascii="仿宋_GB2312" w:hAnsi="仿宋" w:eastAsia="仿宋_GB2312"/>
          <w:b/>
          <w:color w:val="auto"/>
          <w:szCs w:val="21"/>
          <w:highlight w:val="none"/>
        </w:rPr>
        <w:t>4.合同金额</w:t>
      </w:r>
      <w:bookmarkEnd w:id="164"/>
      <w:bookmarkEnd w:id="165"/>
      <w:bookmarkEnd w:id="166"/>
    </w:p>
    <w:p w14:paraId="060F62F3">
      <w:pPr>
        <w:adjustRightInd w:val="0"/>
        <w:snapToGrid w:val="0"/>
        <w:spacing w:line="360" w:lineRule="auto"/>
        <w:ind w:firstLine="411" w:firstLineChars="196"/>
        <w:rPr>
          <w:rFonts w:ascii="仿宋_GB2312" w:hAnsi="仿宋" w:eastAsia="仿宋_GB2312"/>
          <w:b/>
          <w:color w:val="auto"/>
          <w:szCs w:val="21"/>
          <w:highlight w:val="none"/>
        </w:rPr>
      </w:pPr>
      <w:r>
        <w:rPr>
          <w:rFonts w:hint="eastAsia" w:ascii="仿宋_GB2312" w:hAnsi="仿宋" w:eastAsia="仿宋_GB2312"/>
          <w:color w:val="auto"/>
          <w:szCs w:val="21"/>
          <w:highlight w:val="none"/>
        </w:rPr>
        <w:t>根据政府采购合同文件要求，确定政府采购合同的总金额。</w:t>
      </w:r>
    </w:p>
    <w:p w14:paraId="0D8E7596">
      <w:pPr>
        <w:adjustRightInd w:val="0"/>
        <w:snapToGrid w:val="0"/>
        <w:spacing w:line="360" w:lineRule="auto"/>
        <w:ind w:firstLine="411" w:firstLineChars="196"/>
        <w:rPr>
          <w:rFonts w:ascii="仿宋_GB2312" w:hAnsi="仿宋" w:eastAsia="仿宋_GB2312"/>
          <w:b/>
          <w:color w:val="auto"/>
          <w:szCs w:val="21"/>
          <w:highlight w:val="none"/>
        </w:rPr>
      </w:pPr>
      <w:bookmarkStart w:id="167" w:name="_Toc941_WPSOffice_Level1"/>
      <w:bookmarkStart w:id="168" w:name="_Toc11969_WPSOffice_Level1"/>
      <w:bookmarkStart w:id="169" w:name="_Toc22359_WPSOffice_Level1"/>
      <w:r>
        <w:rPr>
          <w:rFonts w:hint="eastAsia" w:ascii="仿宋_GB2312" w:hAnsi="仿宋" w:eastAsia="仿宋_GB2312"/>
          <w:b/>
          <w:color w:val="auto"/>
          <w:szCs w:val="21"/>
          <w:highlight w:val="none"/>
        </w:rPr>
        <w:t>5.付款</w:t>
      </w:r>
      <w:bookmarkEnd w:id="167"/>
      <w:bookmarkEnd w:id="168"/>
      <w:bookmarkEnd w:id="169"/>
    </w:p>
    <w:p w14:paraId="176D497F">
      <w:pPr>
        <w:adjustRightInd w:val="0"/>
        <w:snapToGrid w:val="0"/>
        <w:spacing w:line="360" w:lineRule="auto"/>
        <w:ind w:firstLine="411" w:firstLineChars="196"/>
        <w:rPr>
          <w:rFonts w:ascii="仿宋_GB2312" w:hAnsi="仿宋" w:eastAsia="仿宋_GB2312"/>
          <w:color w:val="auto"/>
          <w:szCs w:val="21"/>
          <w:highlight w:val="none"/>
          <w:u w:val="single"/>
        </w:rPr>
      </w:pPr>
      <w:bookmarkStart w:id="170" w:name="_Toc22351_WPSOffice_Level2"/>
      <w:r>
        <w:rPr>
          <w:rFonts w:hint="eastAsia" w:ascii="仿宋_GB2312" w:hAnsi="仿宋" w:eastAsia="仿宋_GB2312"/>
          <w:color w:val="auto"/>
          <w:szCs w:val="21"/>
          <w:highlight w:val="none"/>
        </w:rPr>
        <w:t>5.1付款方式、条件：需方按照合同约定的方式和条件付款。</w:t>
      </w:r>
      <w:bookmarkEnd w:id="170"/>
    </w:p>
    <w:p w14:paraId="4B3AB043">
      <w:pPr>
        <w:adjustRightInd w:val="0"/>
        <w:snapToGrid w:val="0"/>
        <w:spacing w:line="360" w:lineRule="auto"/>
        <w:ind w:firstLine="411" w:firstLineChars="196"/>
        <w:rPr>
          <w:rFonts w:ascii="仿宋_GB2312" w:hAnsi="仿宋" w:eastAsia="仿宋_GB2312"/>
          <w:b/>
          <w:color w:val="auto"/>
          <w:szCs w:val="21"/>
          <w:highlight w:val="none"/>
        </w:rPr>
      </w:pPr>
      <w:bookmarkStart w:id="171" w:name="_Toc30478_WPSOffice_Level1"/>
      <w:bookmarkStart w:id="172" w:name="_Toc27769_WPSOffice_Level1"/>
      <w:bookmarkStart w:id="173" w:name="_Toc10526_WPSOffice_Level1"/>
      <w:r>
        <w:rPr>
          <w:rFonts w:hint="eastAsia" w:ascii="仿宋_GB2312" w:hAnsi="仿宋" w:eastAsia="仿宋_GB2312"/>
          <w:b/>
          <w:color w:val="auto"/>
          <w:szCs w:val="21"/>
          <w:highlight w:val="none"/>
        </w:rPr>
        <w:t>6.验收</w:t>
      </w:r>
      <w:bookmarkEnd w:id="171"/>
      <w:bookmarkEnd w:id="172"/>
      <w:bookmarkEnd w:id="173"/>
    </w:p>
    <w:p w14:paraId="15BE1E07">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6.1供方提交的货物由需方或者需方的最终用户负责验收。</w:t>
      </w:r>
    </w:p>
    <w:p w14:paraId="45A6465A">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6.2需方或者需方的最终用户应当按照采购合同规定的技术、服务等要求组织对供应商履约的验收，并出具验收书。验收书应当包括每一项技术、服务等要求的履约情况。</w:t>
      </w:r>
    </w:p>
    <w:p w14:paraId="69BC7672">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6.3大型或者复杂的项目，应当邀请国家认可的质量检测机构参加验收。</w:t>
      </w:r>
    </w:p>
    <w:p w14:paraId="308C9401">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6.4政府向社会公众提供的公共服务项目，验收时应当邀请服务对象参与并出具意见，验收结果应当向社会公告。</w:t>
      </w:r>
    </w:p>
    <w:p w14:paraId="7BAA472C">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14:paraId="511748BC">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6.6货物保修期自验收书签署之日起计算。</w:t>
      </w:r>
    </w:p>
    <w:p w14:paraId="551F0D48">
      <w:pPr>
        <w:adjustRightInd w:val="0"/>
        <w:snapToGrid w:val="0"/>
        <w:spacing w:line="360" w:lineRule="auto"/>
        <w:ind w:firstLine="411" w:firstLineChars="196"/>
        <w:rPr>
          <w:rFonts w:ascii="仿宋_GB2312" w:hAnsi="仿宋" w:eastAsia="仿宋_GB2312"/>
          <w:b/>
          <w:color w:val="auto"/>
          <w:szCs w:val="21"/>
          <w:highlight w:val="none"/>
        </w:rPr>
      </w:pPr>
      <w:bookmarkStart w:id="174" w:name="_Toc21868_WPSOffice_Level1"/>
      <w:bookmarkStart w:id="175" w:name="_Toc23127_WPSOffice_Level1"/>
      <w:bookmarkStart w:id="176" w:name="_Toc31292_WPSOffice_Level1"/>
      <w:r>
        <w:rPr>
          <w:rFonts w:hint="eastAsia" w:ascii="仿宋_GB2312" w:hAnsi="仿宋" w:eastAsia="仿宋_GB2312"/>
          <w:b/>
          <w:color w:val="auto"/>
          <w:szCs w:val="21"/>
          <w:highlight w:val="none"/>
        </w:rPr>
        <w:t>7.知识产权及有关规定</w:t>
      </w:r>
      <w:bookmarkEnd w:id="174"/>
      <w:bookmarkEnd w:id="175"/>
      <w:bookmarkEnd w:id="176"/>
    </w:p>
    <w:p w14:paraId="090D113B">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14:paraId="27D783D8">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7.2一方对另一方提供的技术资料、样件、图纸及其他与质量、技术、经营相关信息（包括但不限于价格、数量）有保密义务。双方应确保其人员及相关协作方承担保密义务。</w:t>
      </w:r>
    </w:p>
    <w:p w14:paraId="415867A6">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14:paraId="0C3DE50F">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7.4本合同中涉及保密和知识产权任何条款，在合同期限内及合同终止后持续有效。</w:t>
      </w:r>
    </w:p>
    <w:p w14:paraId="4D064109">
      <w:pPr>
        <w:adjustRightInd w:val="0"/>
        <w:snapToGrid w:val="0"/>
        <w:spacing w:line="360" w:lineRule="auto"/>
        <w:ind w:firstLine="411" w:firstLineChars="196"/>
        <w:rPr>
          <w:rFonts w:ascii="仿宋_GB2312" w:hAnsi="仿宋" w:eastAsia="仿宋_GB2312"/>
          <w:b/>
          <w:color w:val="auto"/>
          <w:szCs w:val="21"/>
          <w:highlight w:val="none"/>
        </w:rPr>
      </w:pPr>
      <w:bookmarkStart w:id="177" w:name="_Toc26796_WPSOffice_Level1"/>
      <w:bookmarkStart w:id="178" w:name="_Toc21090_WPSOffice_Level1"/>
      <w:bookmarkStart w:id="179" w:name="_Toc24765_WPSOffice_Level1"/>
      <w:r>
        <w:rPr>
          <w:rFonts w:hint="eastAsia" w:ascii="仿宋_GB2312" w:hAnsi="仿宋" w:eastAsia="仿宋_GB2312"/>
          <w:b/>
          <w:color w:val="auto"/>
          <w:szCs w:val="21"/>
          <w:highlight w:val="none"/>
        </w:rPr>
        <w:t>8.包装要求</w:t>
      </w:r>
      <w:bookmarkEnd w:id="177"/>
      <w:bookmarkEnd w:id="178"/>
      <w:bookmarkEnd w:id="179"/>
    </w:p>
    <w:p w14:paraId="36071D18">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14:paraId="1BCFB13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8.2每一个包装箱内应附一份详细的装箱单和质量合格证书。</w:t>
      </w:r>
    </w:p>
    <w:p w14:paraId="32C6F9D7">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8.3包装费由供方承担，包装物不回收。</w:t>
      </w:r>
      <w:bookmarkStart w:id="180" w:name="_Toc26447_WPSOffice_Level1"/>
      <w:bookmarkStart w:id="181" w:name="_Toc2304_WPSOffice_Level1"/>
      <w:bookmarkStart w:id="182" w:name="_Toc1308_WPSOffice_Level1"/>
    </w:p>
    <w:p w14:paraId="2AD6E85D">
      <w:pPr>
        <w:adjustRightInd w:val="0"/>
        <w:snapToGrid w:val="0"/>
        <w:spacing w:line="360" w:lineRule="auto"/>
        <w:ind w:firstLine="411" w:firstLineChars="196"/>
        <w:rPr>
          <w:rFonts w:ascii="仿宋_GB2312" w:hAnsi="仿宋" w:eastAsia="仿宋_GB2312"/>
          <w:b/>
          <w:color w:val="auto"/>
          <w:szCs w:val="21"/>
          <w:highlight w:val="none"/>
        </w:rPr>
      </w:pPr>
      <w:r>
        <w:rPr>
          <w:rFonts w:hint="eastAsia" w:ascii="仿宋_GB2312" w:hAnsi="仿宋" w:eastAsia="仿宋_GB2312"/>
          <w:b/>
          <w:color w:val="auto"/>
          <w:szCs w:val="21"/>
          <w:highlight w:val="none"/>
        </w:rPr>
        <w:t>9.伴随服务</w:t>
      </w:r>
      <w:bookmarkEnd w:id="180"/>
      <w:bookmarkEnd w:id="181"/>
      <w:bookmarkEnd w:id="182"/>
    </w:p>
    <w:p w14:paraId="127B3122">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9.1供方应提供所交付货物的全套技术文件资料，包括产品目录、图纸、操作手册、使用说明、维护手册和服务指南等。</w:t>
      </w:r>
    </w:p>
    <w:p w14:paraId="2D5AF880">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9.2供方还应提供下列服务：</w:t>
      </w:r>
    </w:p>
    <w:p w14:paraId="7CE2F4FE">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9.2.1货物的现场安装、启动和试运行；</w:t>
      </w:r>
    </w:p>
    <w:p w14:paraId="0A3F2E3B">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9.2.2提供货物组装和维修所需的工具；</w:t>
      </w:r>
    </w:p>
    <w:p w14:paraId="17F5CCEE">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9.2.3在质量保证期内对所交付货物提供运行监督、维修、保养等,如果招标文件没有特别要求，以供方在投标文件中提交的售后服务承诺书为准。如果上述文件规定有不一致之处，以对需方有利的为准。</w:t>
      </w:r>
    </w:p>
    <w:p w14:paraId="1E3CC720">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9.2.4在制造厂家或在项目现场就货物的安装、启动、运行、维护等对需方人员进行培训，直至需方人员掌握全部上述技能为止。</w:t>
      </w:r>
    </w:p>
    <w:p w14:paraId="2ACFD70C">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9.3伴随服务的费用应含在合同价中，不单独进行支付。</w:t>
      </w:r>
    </w:p>
    <w:p w14:paraId="57331EE3">
      <w:pPr>
        <w:adjustRightInd w:val="0"/>
        <w:snapToGrid w:val="0"/>
        <w:spacing w:line="360" w:lineRule="auto"/>
        <w:ind w:firstLine="411" w:firstLineChars="196"/>
        <w:rPr>
          <w:rFonts w:ascii="仿宋_GB2312" w:hAnsi="仿宋" w:eastAsia="仿宋_GB2312"/>
          <w:b/>
          <w:color w:val="auto"/>
          <w:szCs w:val="21"/>
          <w:highlight w:val="none"/>
        </w:rPr>
      </w:pPr>
      <w:bookmarkStart w:id="183" w:name="_Toc8205_WPSOffice_Level1"/>
      <w:bookmarkStart w:id="184" w:name="_Toc7636_WPSOffice_Level1"/>
      <w:bookmarkStart w:id="185" w:name="_Toc14320_WPSOffice_Level1"/>
      <w:r>
        <w:rPr>
          <w:rFonts w:hint="eastAsia" w:ascii="仿宋_GB2312" w:hAnsi="仿宋" w:eastAsia="仿宋_GB2312"/>
          <w:b/>
          <w:color w:val="auto"/>
          <w:szCs w:val="21"/>
          <w:highlight w:val="none"/>
        </w:rPr>
        <w:t>10.质量保证期</w:t>
      </w:r>
      <w:bookmarkEnd w:id="183"/>
      <w:bookmarkEnd w:id="184"/>
      <w:bookmarkEnd w:id="185"/>
    </w:p>
    <w:p w14:paraId="658FC9F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10.1以招标文件中的规定为准，如果投标文件中的承诺优于招标文件规定，则以投标文件为准。</w:t>
      </w:r>
    </w:p>
    <w:p w14:paraId="7D84CE9E">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10.2如果招标文件没有特别要求，以供方在投标文件中提交的制造厂商的有关文件为准。如果上述文件规定有不一致之处，以对需方有利的为准。</w:t>
      </w:r>
    </w:p>
    <w:p w14:paraId="1A22FFB3">
      <w:pPr>
        <w:adjustRightInd w:val="0"/>
        <w:snapToGrid w:val="0"/>
        <w:spacing w:line="360" w:lineRule="auto"/>
        <w:ind w:firstLine="411" w:firstLineChars="196"/>
        <w:rPr>
          <w:rFonts w:ascii="仿宋_GB2312" w:hAnsi="仿宋" w:eastAsia="仿宋_GB2312"/>
          <w:b/>
          <w:color w:val="auto"/>
          <w:szCs w:val="21"/>
          <w:highlight w:val="none"/>
        </w:rPr>
      </w:pPr>
      <w:bookmarkStart w:id="186" w:name="_Toc13950_WPSOffice_Level1"/>
      <w:bookmarkStart w:id="187" w:name="_Toc18427_WPSOffice_Level1"/>
      <w:bookmarkStart w:id="188" w:name="_Toc16220_WPSOffice_Level1"/>
      <w:r>
        <w:rPr>
          <w:rFonts w:hint="eastAsia" w:ascii="仿宋_GB2312" w:hAnsi="仿宋" w:eastAsia="仿宋_GB2312"/>
          <w:b/>
          <w:color w:val="auto"/>
          <w:szCs w:val="21"/>
          <w:highlight w:val="none"/>
        </w:rPr>
        <w:t>11.质量保证</w:t>
      </w:r>
      <w:bookmarkEnd w:id="186"/>
      <w:bookmarkEnd w:id="187"/>
      <w:bookmarkEnd w:id="188"/>
    </w:p>
    <w:p w14:paraId="2B03EF31">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质量保证责任，该责任不受质量保证期的限制。</w:t>
      </w:r>
    </w:p>
    <w:p w14:paraId="69EABF5F">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11.2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p>
    <w:p w14:paraId="03D1B7E6">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11.3如果供方在接到需方通知后，在本政府采购合同约定的响应时间内没有弥补缺陷，需方可采取必要的补救措施，但其风险和费用将由供方负担，并且需方根据合同规定对供方行使的其它权利不受影响。</w:t>
      </w:r>
    </w:p>
    <w:p w14:paraId="32D40105">
      <w:pPr>
        <w:adjustRightInd w:val="0"/>
        <w:snapToGrid w:val="0"/>
        <w:spacing w:line="360" w:lineRule="auto"/>
        <w:ind w:firstLine="411" w:firstLineChars="196"/>
        <w:rPr>
          <w:rFonts w:ascii="仿宋_GB2312" w:hAnsi="仿宋" w:eastAsia="仿宋_GB2312"/>
          <w:b/>
          <w:color w:val="auto"/>
          <w:szCs w:val="21"/>
          <w:highlight w:val="none"/>
        </w:rPr>
      </w:pPr>
      <w:bookmarkStart w:id="189" w:name="_Toc29469_WPSOffice_Level1"/>
      <w:bookmarkStart w:id="190" w:name="_Toc24667_WPSOffice_Level1"/>
      <w:bookmarkStart w:id="191" w:name="_Toc9090_WPSOffice_Level1"/>
      <w:r>
        <w:rPr>
          <w:rFonts w:hint="eastAsia" w:ascii="仿宋_GB2312" w:hAnsi="仿宋" w:eastAsia="仿宋_GB2312"/>
          <w:b/>
          <w:color w:val="auto"/>
          <w:szCs w:val="21"/>
          <w:highlight w:val="none"/>
        </w:rPr>
        <w:t>12.技术服务和保修责任</w:t>
      </w:r>
      <w:bookmarkEnd w:id="189"/>
      <w:bookmarkEnd w:id="190"/>
      <w:bookmarkEnd w:id="191"/>
    </w:p>
    <w:p w14:paraId="525D55AF">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12.1供方对政府采购合同货物的保修期，以招标文件中的规定为准，如果投标文件中的承诺优于招标文件规定，则以投标文件为准。</w:t>
      </w:r>
    </w:p>
    <w:p w14:paraId="1465F611">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12.2供方应按如下内容提供售后服务：</w:t>
      </w:r>
    </w:p>
    <w:p w14:paraId="6E41DE4F">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12.2.1产品经过试运行期，所有性能指标达到技术规范书的要求时，可按招标文件、投标文件内容进行初验。在试运行期间，由于产品质量等造成某些指标达不到要求，供方须更换或进行修复，试运行期重新计算。</w:t>
      </w:r>
    </w:p>
    <w:p w14:paraId="5C7E91FE">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14:paraId="28542E2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12.2.3保修期间供方要保修除消耗品以外的所有产品。如果系统、设备等发生故障，供方要调查故障原因并修复直至满足最终验收指标和性能的要求，或者修理、更换整个或部分有缺陷的材料。</w:t>
      </w:r>
    </w:p>
    <w:p w14:paraId="53C02FBC">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12.2.4保修期内，供方提供电话、电子邮件、Web、现场服务等方式的技术支持，对用户的现场服务要求，供方必须按投标文件做出的承诺进行响应。</w:t>
      </w:r>
    </w:p>
    <w:p w14:paraId="7A693FF1">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12.2.5保修期内，供方应对出现故障无法修复的产品或无法正常运行的系统，提供替代产品以保证系统的正常工作。</w:t>
      </w:r>
    </w:p>
    <w:p w14:paraId="3483E974">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12.2.6保修期内，供方应投标时的承诺提供相关服务。</w:t>
      </w:r>
    </w:p>
    <w:p w14:paraId="116BEA0B">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6D37CAF9">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14:paraId="1C25537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14:paraId="21E458DC">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14:paraId="14A7D28B">
      <w:pPr>
        <w:adjustRightInd w:val="0"/>
        <w:snapToGrid w:val="0"/>
        <w:spacing w:line="360" w:lineRule="auto"/>
        <w:ind w:firstLine="411" w:firstLineChars="196"/>
        <w:rPr>
          <w:rFonts w:ascii="仿宋_GB2312" w:hAnsi="仿宋" w:eastAsia="仿宋_GB2312"/>
          <w:b/>
          <w:color w:val="auto"/>
          <w:szCs w:val="21"/>
          <w:highlight w:val="none"/>
        </w:rPr>
      </w:pPr>
      <w:bookmarkStart w:id="192" w:name="_Toc16924_WPSOffice_Level1"/>
      <w:bookmarkStart w:id="193" w:name="_Toc8548_WPSOffice_Level1"/>
      <w:bookmarkStart w:id="194" w:name="_Toc11781_WPSOffice_Level1"/>
      <w:r>
        <w:rPr>
          <w:rFonts w:hint="eastAsia" w:ascii="仿宋_GB2312" w:hAnsi="仿宋" w:eastAsia="仿宋_GB2312"/>
          <w:b/>
          <w:color w:val="auto"/>
          <w:szCs w:val="21"/>
          <w:highlight w:val="none"/>
        </w:rPr>
        <w:t>13.违约责任</w:t>
      </w:r>
      <w:bookmarkEnd w:id="192"/>
      <w:bookmarkEnd w:id="193"/>
      <w:bookmarkEnd w:id="194"/>
    </w:p>
    <w:p w14:paraId="30DCDE99">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约定的任何其它义务时，需方有权向供方发出违约通知书，供方应按照需方选择的下列一种或多种方式承担赔偿责任：</w:t>
      </w:r>
    </w:p>
    <w:p w14:paraId="40C547F8">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13.1.1在需方同意延长的期限内交付全部货物、提供服务并承担由此给需方造成的一切损失；</w:t>
      </w:r>
    </w:p>
    <w:p w14:paraId="397F6EE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14:paraId="3371EE8B">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13.1.3根据货物低劣程度、损坏程度以及使需方所遭受的损失，经双方商定降低货物的价格或赔偿需方所遭受的损失；</w:t>
      </w:r>
    </w:p>
    <w:p w14:paraId="27B99B8E">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14:paraId="60B4C7CE">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13.1.5需方有权部分或全部解除政府采购合同并要求供方赔偿由此造成的损失。此时需方可采取必要的补救措施，相关费用由供方承担。</w:t>
      </w:r>
    </w:p>
    <w:p w14:paraId="4C46B010">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14:paraId="65E13BE8">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13.3延期交货的违约责任</w:t>
      </w:r>
    </w:p>
    <w:p w14:paraId="125EAAA8">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14:paraId="1E889A24">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13.3.2如供方在政府采购合同规定的交货日期后10天内仍未能交货，则视为供方不能交货，需方有权解除政府采购合同，供方除退还已收取的货款外，还应向需方偿付政府采购合同总金额10%的违约金。</w:t>
      </w:r>
    </w:p>
    <w:p w14:paraId="6D1D11D7">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13.4以上各项交付的违约金并不影响违约方履行政府采购合同的各项义务。</w:t>
      </w:r>
    </w:p>
    <w:p w14:paraId="389C44F0">
      <w:pPr>
        <w:adjustRightInd w:val="0"/>
        <w:snapToGrid w:val="0"/>
        <w:spacing w:line="360" w:lineRule="auto"/>
        <w:ind w:firstLine="411" w:firstLineChars="196"/>
        <w:rPr>
          <w:rFonts w:ascii="仿宋_GB2312" w:hAnsi="仿宋" w:eastAsia="仿宋_GB2312"/>
          <w:b/>
          <w:color w:val="auto"/>
          <w:szCs w:val="21"/>
          <w:highlight w:val="none"/>
        </w:rPr>
      </w:pPr>
      <w:bookmarkStart w:id="195" w:name="_Toc32310_WPSOffice_Level1"/>
      <w:bookmarkStart w:id="196" w:name="_Toc28610_WPSOffice_Level1"/>
      <w:bookmarkStart w:id="197" w:name="_Toc21833_WPSOffice_Level1"/>
      <w:r>
        <w:rPr>
          <w:rFonts w:hint="eastAsia" w:ascii="仿宋_GB2312" w:hAnsi="仿宋" w:eastAsia="仿宋_GB2312"/>
          <w:b/>
          <w:color w:val="auto"/>
          <w:szCs w:val="21"/>
          <w:highlight w:val="none"/>
        </w:rPr>
        <w:t>14.不可抗力</w:t>
      </w:r>
      <w:bookmarkEnd w:id="195"/>
      <w:bookmarkEnd w:id="196"/>
      <w:bookmarkEnd w:id="197"/>
    </w:p>
    <w:p w14:paraId="3919AAFF">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14:paraId="2F4C231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14.2本条所述的“不可抗力”系指那些双方无法控制，不可预见的事件，但不包括双方的违约或疏忽。这些事件包括但不限于：战争、严重火灾、洪水、台风、地震。</w:t>
      </w:r>
    </w:p>
    <w:p w14:paraId="45F4062C">
      <w:pPr>
        <w:adjustRightInd w:val="0"/>
        <w:snapToGrid w:val="0"/>
        <w:spacing w:line="360" w:lineRule="auto"/>
        <w:ind w:firstLine="411" w:firstLineChars="196"/>
        <w:rPr>
          <w:rFonts w:hint="eastAsia" w:ascii="仿宋_GB2312" w:hAnsi="仿宋" w:eastAsia="仿宋_GB2312"/>
          <w:color w:val="auto"/>
          <w:szCs w:val="21"/>
          <w:highlight w:val="none"/>
          <w:lang w:val="en-US" w:eastAsia="zh-CN"/>
        </w:rPr>
      </w:pPr>
      <w:r>
        <w:rPr>
          <w:rFonts w:hint="eastAsia" w:ascii="仿宋_GB2312" w:hAnsi="仿宋" w:eastAsia="仿宋_GB2312"/>
          <w:color w:val="auto"/>
          <w:szCs w:val="21"/>
          <w:highlight w:val="none"/>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bookmarkStart w:id="198" w:name="_Toc3262_WPSOffice_Level1"/>
      <w:bookmarkStart w:id="199" w:name="_Toc13390_WPSOffice_Level1"/>
      <w:bookmarkStart w:id="200" w:name="_Toc12037_WPSOffice_Level1"/>
      <w:r>
        <w:rPr>
          <w:rFonts w:hint="eastAsia" w:ascii="仿宋_GB2312" w:hAnsi="仿宋" w:eastAsia="仿宋_GB2312"/>
          <w:color w:val="auto"/>
          <w:szCs w:val="21"/>
          <w:highlight w:val="none"/>
          <w:lang w:val="en-US" w:eastAsia="zh-CN"/>
        </w:rPr>
        <w:t xml:space="preserve"> </w:t>
      </w:r>
    </w:p>
    <w:p w14:paraId="08115A61">
      <w:pPr>
        <w:adjustRightInd w:val="0"/>
        <w:snapToGrid w:val="0"/>
        <w:spacing w:line="360" w:lineRule="auto"/>
        <w:ind w:firstLine="411" w:firstLineChars="196"/>
        <w:rPr>
          <w:rFonts w:ascii="仿宋_GB2312" w:hAnsi="仿宋" w:eastAsia="仿宋_GB2312"/>
          <w:b/>
          <w:color w:val="auto"/>
          <w:szCs w:val="21"/>
          <w:highlight w:val="none"/>
        </w:rPr>
      </w:pPr>
      <w:r>
        <w:rPr>
          <w:rFonts w:hint="eastAsia" w:ascii="仿宋_GB2312" w:hAnsi="仿宋" w:eastAsia="仿宋_GB2312"/>
          <w:b/>
          <w:color w:val="auto"/>
          <w:szCs w:val="21"/>
          <w:highlight w:val="none"/>
        </w:rPr>
        <w:t>15.争端的解决</w:t>
      </w:r>
      <w:bookmarkEnd w:id="198"/>
      <w:bookmarkEnd w:id="199"/>
      <w:bookmarkEnd w:id="200"/>
    </w:p>
    <w:p w14:paraId="290EF3BD">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15.1政府采购合同的履行、违约责任和解决争议的方法等适用《中华人民共和国民法典》。</w:t>
      </w:r>
    </w:p>
    <w:p w14:paraId="23B9E0A6">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15.2需方和供方应通过友好协商，解决在执行本政府采购合同过程中所发生的或与本政府采购合同有关的一切争端。</w:t>
      </w:r>
    </w:p>
    <w:p w14:paraId="24B8DC85">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15.3如果协商不成，双方中的任何一方可向需方所在地的人民法院提起诉讼。</w:t>
      </w:r>
    </w:p>
    <w:p w14:paraId="6D8E0CAF">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15.4因政府采购合同部分履行引发诉讼的，在诉讼期间，除正在进行诉讼的部分外，本政府采购合同的其它部分应继续执行。</w:t>
      </w:r>
    </w:p>
    <w:p w14:paraId="617F5EDF">
      <w:pPr>
        <w:adjustRightInd w:val="0"/>
        <w:snapToGrid w:val="0"/>
        <w:spacing w:line="360" w:lineRule="auto"/>
        <w:ind w:firstLine="411" w:firstLineChars="196"/>
        <w:rPr>
          <w:rFonts w:ascii="仿宋_GB2312" w:hAnsi="仿宋" w:eastAsia="仿宋_GB2312"/>
          <w:b/>
          <w:color w:val="auto"/>
          <w:szCs w:val="21"/>
          <w:highlight w:val="none"/>
        </w:rPr>
      </w:pPr>
      <w:bookmarkStart w:id="201" w:name="_Toc27539_WPSOffice_Level1"/>
      <w:bookmarkStart w:id="202" w:name="_Toc7773_WPSOffice_Level1"/>
      <w:bookmarkStart w:id="203" w:name="_Toc1917_WPSOffice_Level1"/>
      <w:r>
        <w:rPr>
          <w:rFonts w:hint="eastAsia" w:ascii="仿宋_GB2312" w:hAnsi="仿宋" w:eastAsia="仿宋_GB2312"/>
          <w:b/>
          <w:color w:val="auto"/>
          <w:szCs w:val="21"/>
          <w:highlight w:val="none"/>
        </w:rPr>
        <w:t>16.违约终止政府采购合同</w:t>
      </w:r>
      <w:bookmarkEnd w:id="201"/>
      <w:bookmarkEnd w:id="202"/>
      <w:bookmarkEnd w:id="203"/>
    </w:p>
    <w:p w14:paraId="6B46A61D">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16.1在需方因供方违约而按政府采购合同约定采取的任何补救措施均无效的情况下，需方可在下列情况下向供方发出书面通知，提出终止部分或全部政府采购合同。</w:t>
      </w:r>
    </w:p>
    <w:p w14:paraId="63B51CEA">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16.1.1如果供方未能在政府采购合同规定的限期或需方同意延长的限期内提供部分或全部货物和服务；</w:t>
      </w:r>
    </w:p>
    <w:p w14:paraId="2421B37A">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16.1.2未经需方事先书面同意，供方部分转让和分包或全部转让和分包其应履行的政府采购合同义务。</w:t>
      </w:r>
    </w:p>
    <w:p w14:paraId="052FCCF3">
      <w:pPr>
        <w:adjustRightInd w:val="0"/>
        <w:snapToGrid w:val="0"/>
        <w:spacing w:line="360" w:lineRule="auto"/>
        <w:ind w:firstLine="411" w:firstLineChars="196"/>
        <w:rPr>
          <w:rFonts w:ascii="仿宋_GB2312" w:hAnsi="仿宋" w:eastAsia="仿宋_GB2312"/>
          <w:b/>
          <w:color w:val="auto"/>
          <w:szCs w:val="21"/>
          <w:highlight w:val="none"/>
        </w:rPr>
      </w:pPr>
      <w:bookmarkStart w:id="204" w:name="_Toc4220_WPSOffice_Level1"/>
      <w:bookmarkStart w:id="205" w:name="_Toc27976_WPSOffice_Level1"/>
      <w:bookmarkStart w:id="206" w:name="_Toc11967_WPSOffice_Level1"/>
      <w:r>
        <w:rPr>
          <w:rFonts w:hint="eastAsia" w:ascii="仿宋_GB2312" w:hAnsi="仿宋" w:eastAsia="仿宋_GB2312"/>
          <w:b/>
          <w:color w:val="auto"/>
          <w:szCs w:val="21"/>
          <w:highlight w:val="none"/>
        </w:rPr>
        <w:t>17.政府采购合同转让和分包</w:t>
      </w:r>
      <w:bookmarkEnd w:id="204"/>
      <w:bookmarkEnd w:id="205"/>
      <w:bookmarkEnd w:id="206"/>
    </w:p>
    <w:p w14:paraId="68E77594">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除招标文件规定,并经需方事先书面同意外，供方不得部分转让和分包或全部转让和分包其应履行的政府采购合同义务。</w:t>
      </w:r>
    </w:p>
    <w:p w14:paraId="3F024837">
      <w:pPr>
        <w:adjustRightInd w:val="0"/>
        <w:snapToGrid w:val="0"/>
        <w:spacing w:line="360" w:lineRule="auto"/>
        <w:ind w:firstLine="411" w:firstLineChars="196"/>
        <w:rPr>
          <w:rFonts w:ascii="仿宋_GB2312" w:hAnsi="仿宋" w:eastAsia="仿宋_GB2312"/>
          <w:b/>
          <w:color w:val="auto"/>
          <w:szCs w:val="21"/>
          <w:highlight w:val="none"/>
        </w:rPr>
      </w:pPr>
      <w:bookmarkStart w:id="207" w:name="_Toc16873_WPSOffice_Level1"/>
      <w:bookmarkStart w:id="208" w:name="_Toc30020_WPSOffice_Level1"/>
      <w:bookmarkStart w:id="209" w:name="_Toc737_WPSOffice_Level1"/>
      <w:r>
        <w:rPr>
          <w:rFonts w:hint="eastAsia" w:ascii="仿宋_GB2312" w:hAnsi="仿宋" w:eastAsia="仿宋_GB2312"/>
          <w:b/>
          <w:color w:val="auto"/>
          <w:szCs w:val="21"/>
          <w:highlight w:val="none"/>
        </w:rPr>
        <w:t>18.适用法律：</w:t>
      </w:r>
      <w:bookmarkEnd w:id="207"/>
      <w:bookmarkEnd w:id="208"/>
      <w:bookmarkEnd w:id="209"/>
    </w:p>
    <w:p w14:paraId="3799F1FF">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本政府采购合同按照中华人民共和国的现行法律进行解释。</w:t>
      </w:r>
    </w:p>
    <w:p w14:paraId="3E56409F">
      <w:pPr>
        <w:adjustRightInd w:val="0"/>
        <w:snapToGrid w:val="0"/>
        <w:spacing w:line="360" w:lineRule="auto"/>
        <w:ind w:firstLine="411" w:firstLineChars="196"/>
        <w:rPr>
          <w:rFonts w:ascii="仿宋_GB2312" w:hAnsi="仿宋" w:eastAsia="仿宋_GB2312"/>
          <w:b/>
          <w:color w:val="auto"/>
          <w:szCs w:val="21"/>
          <w:highlight w:val="none"/>
        </w:rPr>
      </w:pPr>
      <w:bookmarkStart w:id="210" w:name="_Toc29009_WPSOffice_Level1"/>
      <w:bookmarkStart w:id="211" w:name="_Toc23749_WPSOffice_Level1"/>
      <w:bookmarkStart w:id="212" w:name="_Toc20985_WPSOffice_Level1"/>
      <w:r>
        <w:rPr>
          <w:rFonts w:hint="eastAsia" w:ascii="仿宋_GB2312" w:hAnsi="仿宋" w:eastAsia="仿宋_GB2312"/>
          <w:b/>
          <w:color w:val="auto"/>
          <w:szCs w:val="21"/>
          <w:highlight w:val="none"/>
        </w:rPr>
        <w:t>19.政府采购合同生效</w:t>
      </w:r>
      <w:bookmarkEnd w:id="210"/>
      <w:bookmarkEnd w:id="211"/>
      <w:bookmarkEnd w:id="212"/>
    </w:p>
    <w:p w14:paraId="72C35B39">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19.1本政府采购合同在供需双方法定代表人或其授权代理人签字和加盖公章后生效。</w:t>
      </w:r>
    </w:p>
    <w:p w14:paraId="76F75252">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19.2本政府采购合同一式五份，需方执二份，供方、采购组织机构、财政部门各执一份。</w:t>
      </w:r>
    </w:p>
    <w:p w14:paraId="01684994">
      <w:pPr>
        <w:adjustRightInd w:val="0"/>
        <w:snapToGrid w:val="0"/>
        <w:spacing w:line="360" w:lineRule="auto"/>
        <w:ind w:firstLine="411" w:firstLineChars="196"/>
        <w:rPr>
          <w:rFonts w:ascii="仿宋_GB2312" w:hAnsi="仿宋" w:eastAsia="仿宋_GB2312"/>
          <w:b/>
          <w:color w:val="auto"/>
          <w:szCs w:val="21"/>
          <w:highlight w:val="none"/>
        </w:rPr>
      </w:pPr>
      <w:bookmarkStart w:id="213" w:name="_Toc12339_WPSOffice_Level1"/>
      <w:bookmarkStart w:id="214" w:name="_Toc405_WPSOffice_Level1"/>
      <w:bookmarkStart w:id="215" w:name="_Toc20274_WPSOffice_Level1"/>
      <w:r>
        <w:rPr>
          <w:rFonts w:hint="eastAsia" w:ascii="仿宋_GB2312" w:hAnsi="仿宋" w:eastAsia="仿宋_GB2312"/>
          <w:b/>
          <w:color w:val="auto"/>
          <w:szCs w:val="21"/>
          <w:highlight w:val="none"/>
        </w:rPr>
        <w:t>20.政府采购合同附件</w:t>
      </w:r>
      <w:bookmarkEnd w:id="213"/>
      <w:bookmarkEnd w:id="214"/>
      <w:bookmarkEnd w:id="215"/>
    </w:p>
    <w:p w14:paraId="3DCDFBC0">
      <w:pPr>
        <w:adjustRightInd w:val="0"/>
        <w:snapToGrid w:val="0"/>
        <w:spacing w:line="360" w:lineRule="auto"/>
        <w:ind w:firstLine="411" w:firstLineChars="196"/>
        <w:rPr>
          <w:rFonts w:ascii="仿宋_GB2312" w:hAnsi="仿宋" w:eastAsia="仿宋_GB2312"/>
          <w:color w:val="auto"/>
          <w:szCs w:val="21"/>
          <w:highlight w:val="none"/>
        </w:rPr>
      </w:pPr>
      <w:r>
        <w:rPr>
          <w:rFonts w:hint="eastAsia" w:ascii="仿宋_GB2312" w:hAnsi="仿宋" w:eastAsia="仿宋_GB2312"/>
          <w:color w:val="auto"/>
          <w:szCs w:val="21"/>
          <w:highlight w:val="none"/>
        </w:rPr>
        <w:t>下列文件构成本政府采购合同不可分割的组成部分，与本政府采购合同具有同等法律效力：</w:t>
      </w:r>
    </w:p>
    <w:p w14:paraId="6D258CEB">
      <w:pPr>
        <w:adjustRightInd w:val="0"/>
        <w:snapToGrid w:val="0"/>
        <w:spacing w:line="360" w:lineRule="auto"/>
        <w:ind w:firstLine="411" w:firstLineChars="196"/>
        <w:rPr>
          <w:rFonts w:ascii="仿宋_GB2312" w:hAnsi="仿宋" w:eastAsia="仿宋_GB2312"/>
          <w:color w:val="auto"/>
          <w:szCs w:val="21"/>
          <w:highlight w:val="none"/>
        </w:rPr>
      </w:pPr>
      <w:bookmarkStart w:id="216" w:name="_Toc3518_WPSOffice_Level2"/>
      <w:r>
        <w:rPr>
          <w:rFonts w:hint="eastAsia" w:ascii="仿宋_GB2312" w:hAnsi="仿宋" w:eastAsia="仿宋_GB2312"/>
          <w:color w:val="auto"/>
          <w:szCs w:val="21"/>
          <w:highlight w:val="none"/>
        </w:rPr>
        <w:t>20.1招标文件；</w:t>
      </w:r>
      <w:bookmarkEnd w:id="216"/>
    </w:p>
    <w:p w14:paraId="08D5075E">
      <w:pPr>
        <w:adjustRightInd w:val="0"/>
        <w:snapToGrid w:val="0"/>
        <w:spacing w:line="360" w:lineRule="auto"/>
        <w:ind w:firstLine="411" w:firstLineChars="196"/>
        <w:rPr>
          <w:rFonts w:ascii="仿宋_GB2312" w:hAnsi="仿宋" w:eastAsia="仿宋_GB2312"/>
          <w:color w:val="auto"/>
          <w:szCs w:val="21"/>
          <w:highlight w:val="none"/>
        </w:rPr>
      </w:pPr>
      <w:bookmarkStart w:id="217" w:name="_Toc7342_WPSOffice_Level2"/>
      <w:r>
        <w:rPr>
          <w:rFonts w:hint="eastAsia" w:ascii="仿宋_GB2312" w:hAnsi="仿宋" w:eastAsia="仿宋_GB2312"/>
          <w:color w:val="auto"/>
          <w:szCs w:val="21"/>
          <w:highlight w:val="none"/>
        </w:rPr>
        <w:t>20.2招标文件的更正公告、变更公告；</w:t>
      </w:r>
      <w:bookmarkEnd w:id="217"/>
    </w:p>
    <w:p w14:paraId="4E915412">
      <w:pPr>
        <w:adjustRightInd w:val="0"/>
        <w:snapToGrid w:val="0"/>
        <w:spacing w:line="360" w:lineRule="auto"/>
        <w:ind w:firstLine="411" w:firstLineChars="196"/>
        <w:rPr>
          <w:rFonts w:ascii="仿宋_GB2312" w:hAnsi="仿宋" w:eastAsia="仿宋_GB2312"/>
          <w:color w:val="auto"/>
          <w:szCs w:val="21"/>
          <w:highlight w:val="none"/>
        </w:rPr>
      </w:pPr>
      <w:bookmarkStart w:id="218" w:name="_Toc576_WPSOffice_Level2"/>
      <w:r>
        <w:rPr>
          <w:rFonts w:hint="eastAsia" w:ascii="仿宋_GB2312" w:hAnsi="仿宋" w:eastAsia="仿宋_GB2312"/>
          <w:color w:val="auto"/>
          <w:szCs w:val="21"/>
          <w:highlight w:val="none"/>
        </w:rPr>
        <w:t>20.3中标人提交的投标文件；</w:t>
      </w:r>
      <w:bookmarkEnd w:id="218"/>
    </w:p>
    <w:p w14:paraId="12017AD1">
      <w:pPr>
        <w:adjustRightInd w:val="0"/>
        <w:snapToGrid w:val="0"/>
        <w:spacing w:line="360" w:lineRule="auto"/>
        <w:ind w:firstLine="411" w:firstLineChars="196"/>
        <w:rPr>
          <w:rFonts w:ascii="仿宋_GB2312" w:hAnsi="仿宋" w:eastAsia="仿宋_GB2312"/>
          <w:color w:val="auto"/>
          <w:szCs w:val="21"/>
          <w:highlight w:val="none"/>
        </w:rPr>
      </w:pPr>
      <w:bookmarkStart w:id="219" w:name="_Toc25464_WPSOffice_Level2"/>
      <w:r>
        <w:rPr>
          <w:rFonts w:hint="eastAsia" w:ascii="仿宋_GB2312" w:hAnsi="仿宋" w:eastAsia="仿宋_GB2312"/>
          <w:color w:val="auto"/>
          <w:szCs w:val="21"/>
          <w:highlight w:val="none"/>
        </w:rPr>
        <w:t>20.4政府采购合同条款；</w:t>
      </w:r>
      <w:bookmarkEnd w:id="219"/>
    </w:p>
    <w:p w14:paraId="7BC1DC71">
      <w:pPr>
        <w:adjustRightInd w:val="0"/>
        <w:snapToGrid w:val="0"/>
        <w:spacing w:line="360" w:lineRule="auto"/>
        <w:ind w:firstLine="411" w:firstLineChars="196"/>
        <w:rPr>
          <w:rFonts w:ascii="仿宋_GB2312" w:hAnsi="仿宋" w:eastAsia="仿宋_GB2312"/>
          <w:color w:val="auto"/>
          <w:szCs w:val="21"/>
          <w:highlight w:val="none"/>
        </w:rPr>
      </w:pPr>
      <w:bookmarkStart w:id="220" w:name="_Toc25590_WPSOffice_Level2"/>
      <w:r>
        <w:rPr>
          <w:rFonts w:hint="eastAsia" w:ascii="仿宋_GB2312" w:hAnsi="仿宋" w:eastAsia="仿宋_GB2312"/>
          <w:color w:val="auto"/>
          <w:szCs w:val="21"/>
          <w:highlight w:val="none"/>
        </w:rPr>
        <w:t>20.5中标通知书；</w:t>
      </w:r>
      <w:bookmarkEnd w:id="220"/>
    </w:p>
    <w:p w14:paraId="27AFD187">
      <w:pPr>
        <w:adjustRightInd w:val="0"/>
        <w:snapToGrid w:val="0"/>
        <w:spacing w:line="360" w:lineRule="auto"/>
        <w:ind w:firstLine="411" w:firstLineChars="196"/>
        <w:rPr>
          <w:rFonts w:ascii="仿宋_GB2312" w:hAnsi="仿宋" w:eastAsia="仿宋_GB2312"/>
          <w:color w:val="auto"/>
          <w:sz w:val="24"/>
          <w:highlight w:val="none"/>
        </w:rPr>
      </w:pPr>
      <w:bookmarkStart w:id="221" w:name="_Toc10297_WPSOffice_Level2"/>
      <w:r>
        <w:rPr>
          <w:rFonts w:hint="eastAsia" w:ascii="仿宋_GB2312" w:hAnsi="仿宋" w:eastAsia="仿宋_GB2312"/>
          <w:color w:val="auto"/>
          <w:szCs w:val="21"/>
          <w:highlight w:val="none"/>
        </w:rPr>
        <w:t>20.6政府采购合同的其它附件。</w:t>
      </w:r>
      <w:bookmarkEnd w:id="221"/>
    </w:p>
    <w:p w14:paraId="2DB0E203">
      <w:pPr>
        <w:pStyle w:val="3"/>
        <w:adjustRightInd w:val="0"/>
        <w:snapToGrid w:val="0"/>
        <w:spacing w:before="0" w:after="0" w:line="240" w:lineRule="auto"/>
        <w:jc w:val="left"/>
        <w:rPr>
          <w:rFonts w:ascii="仿宋_GB2312" w:hAnsi="仿宋" w:eastAsia="仿宋_GB2312" w:cs="仿宋_GB2312"/>
          <w:color w:val="auto"/>
          <w:szCs w:val="28"/>
          <w:highlight w:val="none"/>
        </w:rPr>
      </w:pPr>
      <w:r>
        <w:rPr>
          <w:rFonts w:hint="eastAsia" w:ascii="仿宋_GB2312" w:hAnsi="仿宋" w:eastAsia="仿宋_GB2312"/>
          <w:color w:val="auto"/>
          <w:sz w:val="24"/>
          <w:highlight w:val="none"/>
        </w:rPr>
        <w:br w:type="page"/>
      </w:r>
      <w:bookmarkStart w:id="222" w:name="_Toc372_WPSOffice_Level1"/>
      <w:bookmarkStart w:id="223" w:name="_Toc7342_WPSOffice_Level1"/>
      <w:bookmarkStart w:id="224" w:name="_Toc3044_WPSOffice_Level1"/>
      <w:r>
        <w:rPr>
          <w:rFonts w:hint="eastAsia" w:ascii="仿宋_GB2312" w:hAnsi="仿宋" w:eastAsia="仿宋_GB2312" w:cs="仿宋_GB2312"/>
          <w:color w:val="auto"/>
          <w:szCs w:val="28"/>
          <w:highlight w:val="none"/>
        </w:rPr>
        <w:t>合同格式</w:t>
      </w:r>
      <w:bookmarkEnd w:id="222"/>
      <w:bookmarkEnd w:id="223"/>
      <w:bookmarkEnd w:id="224"/>
      <w:r>
        <w:rPr>
          <w:rFonts w:hint="eastAsia" w:ascii="仿宋_GB2312" w:hAnsi="仿宋" w:eastAsia="仿宋_GB2312" w:cs="仿宋_GB2312"/>
          <w:color w:val="auto"/>
          <w:szCs w:val="28"/>
          <w:highlight w:val="none"/>
        </w:rPr>
        <w:t>（</w:t>
      </w:r>
      <w:r>
        <w:rPr>
          <w:rFonts w:hint="eastAsia"/>
          <w:color w:val="auto"/>
          <w:highlight w:val="none"/>
        </w:rPr>
        <w:t>合同以最终签订内容为准</w:t>
      </w:r>
      <w:r>
        <w:rPr>
          <w:rFonts w:hint="eastAsia" w:ascii="仿宋_GB2312" w:hAnsi="仿宋" w:eastAsia="仿宋_GB2312" w:cs="仿宋_GB2312"/>
          <w:color w:val="auto"/>
          <w:szCs w:val="28"/>
          <w:highlight w:val="none"/>
        </w:rPr>
        <w:t>）</w:t>
      </w:r>
    </w:p>
    <w:bookmarkEnd w:id="153"/>
    <w:p w14:paraId="62190873">
      <w:pPr>
        <w:wordWrap w:val="0"/>
        <w:snapToGrid w:val="0"/>
        <w:jc w:val="left"/>
        <w:rPr>
          <w:rFonts w:hint="eastAsia" w:ascii="仿宋_GB2312" w:hAnsi="仿宋_GB2312" w:eastAsia="仿宋_GB2312" w:cs="仿宋_GB2312"/>
          <w:b/>
          <w:color w:val="auto"/>
          <w:w w:val="88"/>
          <w:kern w:val="0"/>
          <w:sz w:val="24"/>
          <w:highlight w:val="none"/>
        </w:rPr>
      </w:pPr>
      <w:r>
        <w:rPr>
          <w:rFonts w:hint="eastAsia" w:ascii="仿宋_GB2312" w:hAnsi="仿宋_GB2312" w:eastAsia="仿宋_GB2312" w:cs="仿宋_GB2312"/>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3072765</wp:posOffset>
                </wp:positionH>
                <wp:positionV relativeFrom="paragraph">
                  <wp:posOffset>0</wp:posOffset>
                </wp:positionV>
                <wp:extent cx="2794635" cy="28892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2794635" cy="288925"/>
                        </a:xfrm>
                        <a:prstGeom prst="rect">
                          <a:avLst/>
                        </a:prstGeom>
                        <a:noFill/>
                        <a:ln>
                          <a:noFill/>
                        </a:ln>
                        <a:effectLst/>
                      </wps:spPr>
                      <wps:txbx>
                        <w:txbxContent>
                          <w:p w14:paraId="1EF5023A">
                            <w:pPr>
                              <w:snapToGrid w:val="0"/>
                              <w:rPr>
                                <w:rFonts w:hint="default" w:ascii="Times New Roman" w:hAnsi="Times New Roman" w:cs="Times New Roman"/>
                                <w:b/>
                                <w:kern w:val="0"/>
                                <w:sz w:val="24"/>
                              </w:rPr>
                            </w:pPr>
                            <w:r>
                              <w:rPr>
                                <w:rFonts w:hint="default" w:ascii="Times New Roman" w:hAnsi="Times New Roman" w:cs="Times New Roman"/>
                                <w:b/>
                                <w:kern w:val="0"/>
                                <w:sz w:val="24"/>
                              </w:rPr>
                              <w:t>公开招标项目编号：</w:t>
                            </w:r>
                          </w:p>
                        </w:txbxContent>
                      </wps:txbx>
                      <wps:bodyPr wrap="square" upright="1">
                        <a:spAutoFit/>
                      </wps:bodyPr>
                    </wps:wsp>
                  </a:graphicData>
                </a:graphic>
              </wp:anchor>
            </w:drawing>
          </mc:Choice>
          <mc:Fallback>
            <w:pict>
              <v:shape id="_x0000_s1026" o:spid="_x0000_s1026" o:spt="202" type="#_x0000_t202" style="position:absolute;left:0pt;margin-left:241.95pt;margin-top:0pt;height:22.75pt;width:220.05pt;mso-wrap-distance-bottom:0pt;mso-wrap-distance-left:9pt;mso-wrap-distance-right:9pt;mso-wrap-distance-top:0pt;z-index:251661312;mso-width-relative:page;mso-height-relative:page;" filled="f" stroked="f" coordsize="21600,21600" o:gfxdata="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lWth31QAAAAcBAAAPAAAAAAAAAAEAIAAAACIAAABkcnMvZG93&#10;bnJldi54bWxQSwECFAAUAAAACACHTuJA3xM6YMoBAACEAwAADgAAAAAAAAABACAAAAAkAQAAZHJz&#10;L2Uyb0RvYy54bWxQSwUGAAAAAAYABgBZAQAAYAUAAAAA&#10;">
                <v:fill on="f" focussize="0,0"/>
                <v:stroke on="f"/>
                <v:imagedata o:title=""/>
                <o:lock v:ext="edit" aspectratio="f"/>
                <v:textbox style="mso-fit-shape-to-text:t;">
                  <w:txbxContent>
                    <w:p w14:paraId="1EF5023A">
                      <w:pPr>
                        <w:snapToGrid w:val="0"/>
                        <w:rPr>
                          <w:rFonts w:hint="default" w:ascii="Times New Roman" w:hAnsi="Times New Roman" w:cs="Times New Roman"/>
                          <w:b/>
                          <w:kern w:val="0"/>
                          <w:sz w:val="24"/>
                        </w:rPr>
                      </w:pPr>
                      <w:r>
                        <w:rPr>
                          <w:rFonts w:hint="default" w:ascii="Times New Roman" w:hAnsi="Times New Roman" w:cs="Times New Roman"/>
                          <w:b/>
                          <w:kern w:val="0"/>
                          <w:sz w:val="24"/>
                        </w:rPr>
                        <w:t>公开招标项目编号：</w:t>
                      </w:r>
                    </w:p>
                  </w:txbxContent>
                </v:textbox>
                <w10:wrap type="square"/>
              </v:shape>
            </w:pict>
          </mc:Fallback>
        </mc:AlternateContent>
      </w:r>
    </w:p>
    <w:p w14:paraId="08FE7230">
      <w:pPr>
        <w:snapToGrid w:val="0"/>
        <w:jc w:val="right"/>
        <w:rPr>
          <w:rFonts w:hint="eastAsia" w:ascii="仿宋_GB2312" w:hAnsi="仿宋_GB2312" w:eastAsia="仿宋_GB2312" w:cs="仿宋_GB2312"/>
          <w:b/>
          <w:color w:val="auto"/>
          <w:w w:val="88"/>
          <w:kern w:val="0"/>
          <w:sz w:val="24"/>
          <w:highlight w:val="none"/>
        </w:rPr>
      </w:pPr>
    </w:p>
    <w:p w14:paraId="639CCB8B">
      <w:pPr>
        <w:spacing w:before="312" w:beforeLines="100" w:after="312" w:afterLines="100"/>
        <w:ind w:right="120"/>
        <w:jc w:val="right"/>
        <w:rPr>
          <w:rFonts w:hint="eastAsia" w:ascii="仿宋_GB2312" w:hAnsi="仿宋_GB2312" w:eastAsia="仿宋_GB2312" w:cs="仿宋_GB2312"/>
          <w:b/>
          <w:color w:val="auto"/>
          <w:sz w:val="24"/>
          <w:highlight w:val="none"/>
        </w:rPr>
      </w:pPr>
    </w:p>
    <w:p w14:paraId="5AE452D3">
      <w:pPr>
        <w:spacing w:before="312" w:beforeLines="100" w:after="312" w:afterLines="100" w:line="480" w:lineRule="exact"/>
        <w:jc w:val="center"/>
        <w:rPr>
          <w:rFonts w:hint="eastAsia" w:ascii="仿宋_GB2312" w:hAnsi="仿宋_GB2312" w:eastAsia="仿宋_GB2312" w:cs="仿宋_GB2312"/>
          <w:b/>
          <w:color w:val="auto"/>
          <w:sz w:val="36"/>
          <w:szCs w:val="36"/>
          <w:highlight w:val="none"/>
        </w:rPr>
      </w:pPr>
    </w:p>
    <w:p w14:paraId="34375452">
      <w:pPr>
        <w:spacing w:before="312" w:beforeLines="100" w:after="312" w:afterLines="100"/>
        <w:jc w:val="center"/>
        <w:rPr>
          <w:rFonts w:hint="eastAsia" w:ascii="仿宋_GB2312" w:hAnsi="仿宋_GB2312" w:eastAsia="仿宋_GB2312" w:cs="仿宋_GB2312"/>
          <w:b/>
          <w:color w:val="auto"/>
          <w:sz w:val="52"/>
          <w:szCs w:val="52"/>
          <w:highlight w:val="none"/>
        </w:rPr>
      </w:pPr>
      <w:r>
        <w:rPr>
          <w:rFonts w:hint="eastAsia" w:ascii="仿宋_GB2312" w:hAnsi="仿宋_GB2312" w:eastAsia="仿宋_GB2312" w:cs="仿宋_GB2312"/>
          <w:b/>
          <w:color w:val="auto"/>
          <w:sz w:val="52"/>
          <w:szCs w:val="52"/>
          <w:highlight w:val="none"/>
        </w:rPr>
        <w:t>辽 宁 省 政 府 采 购 项 目</w:t>
      </w:r>
    </w:p>
    <w:p w14:paraId="00437FAC">
      <w:pPr>
        <w:spacing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沈阳农业大学******采购项目</w:t>
      </w:r>
    </w:p>
    <w:p w14:paraId="57F6A03E">
      <w:pPr>
        <w:spacing w:line="360" w:lineRule="auto"/>
        <w:jc w:val="center"/>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01       包</w:t>
      </w:r>
    </w:p>
    <w:p w14:paraId="0878EEBD">
      <w:pPr>
        <w:spacing w:before="312" w:beforeLines="100" w:after="312" w:afterLines="100" w:line="480" w:lineRule="exact"/>
        <w:jc w:val="center"/>
        <w:rPr>
          <w:rFonts w:hint="eastAsia" w:ascii="仿宋_GB2312" w:hAnsi="仿宋_GB2312" w:eastAsia="仿宋_GB2312" w:cs="仿宋_GB2312"/>
          <w:b/>
          <w:color w:val="auto"/>
          <w:sz w:val="36"/>
          <w:szCs w:val="36"/>
          <w:highlight w:val="none"/>
        </w:rPr>
      </w:pPr>
    </w:p>
    <w:p w14:paraId="6C43CC54">
      <w:pPr>
        <w:spacing w:before="312" w:beforeLines="100" w:after="312" w:afterLines="100" w:line="480" w:lineRule="exact"/>
        <w:jc w:val="center"/>
        <w:rPr>
          <w:rFonts w:hint="eastAsia" w:ascii="仿宋_GB2312" w:hAnsi="仿宋_GB2312" w:eastAsia="仿宋_GB2312" w:cs="仿宋_GB2312"/>
          <w:b/>
          <w:color w:val="auto"/>
          <w:sz w:val="36"/>
          <w:szCs w:val="36"/>
          <w:highlight w:val="none"/>
        </w:rPr>
      </w:pPr>
    </w:p>
    <w:p w14:paraId="67C168D0">
      <w:pPr>
        <w:spacing w:before="312" w:beforeLines="100" w:after="312" w:afterLines="100"/>
        <w:jc w:val="center"/>
        <w:rPr>
          <w:rFonts w:hint="eastAsia" w:ascii="仿宋_GB2312" w:hAnsi="仿宋_GB2312" w:eastAsia="仿宋_GB2312" w:cs="仿宋_GB2312"/>
          <w:b/>
          <w:color w:val="auto"/>
          <w:sz w:val="84"/>
          <w:szCs w:val="84"/>
          <w:highlight w:val="none"/>
        </w:rPr>
      </w:pPr>
      <w:r>
        <w:rPr>
          <w:rFonts w:hint="eastAsia" w:ascii="仿宋_GB2312" w:hAnsi="仿宋_GB2312" w:eastAsia="仿宋_GB2312" w:cs="仿宋_GB2312"/>
          <w:b/>
          <w:color w:val="auto"/>
          <w:sz w:val="84"/>
          <w:szCs w:val="84"/>
          <w:highlight w:val="none"/>
        </w:rPr>
        <w:t>合         同</w:t>
      </w:r>
    </w:p>
    <w:p w14:paraId="0B07AE2A">
      <w:pPr>
        <w:spacing w:before="312" w:beforeLines="100" w:after="312" w:afterLines="100" w:line="480" w:lineRule="exact"/>
        <w:jc w:val="center"/>
        <w:rPr>
          <w:rFonts w:hint="eastAsia" w:ascii="仿宋_GB2312" w:hAnsi="仿宋_GB2312" w:eastAsia="仿宋_GB2312" w:cs="仿宋_GB2312"/>
          <w:b/>
          <w:color w:val="auto"/>
          <w:sz w:val="36"/>
          <w:szCs w:val="36"/>
          <w:highlight w:val="none"/>
        </w:rPr>
      </w:pPr>
    </w:p>
    <w:p w14:paraId="78D216E9">
      <w:pPr>
        <w:spacing w:before="312" w:beforeLines="100" w:after="312" w:afterLines="100" w:line="480" w:lineRule="exact"/>
        <w:rPr>
          <w:rFonts w:hint="eastAsia" w:ascii="仿宋_GB2312" w:hAnsi="仿宋_GB2312" w:eastAsia="仿宋_GB2312" w:cs="仿宋_GB2312"/>
          <w:b/>
          <w:color w:val="auto"/>
          <w:sz w:val="36"/>
          <w:szCs w:val="36"/>
          <w:highlight w:val="none"/>
        </w:rPr>
      </w:pPr>
    </w:p>
    <w:p w14:paraId="2C6641BD">
      <w:pPr>
        <w:spacing w:before="312" w:beforeLines="100" w:after="312" w:afterLines="100" w:line="560" w:lineRule="exac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合同需方：沈阳农业大学</w:t>
      </w:r>
    </w:p>
    <w:p w14:paraId="78625B60">
      <w:pPr>
        <w:spacing w:before="312" w:beforeLines="100" w:after="312" w:afterLines="100" w:line="560" w:lineRule="exac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合同供方：</w:t>
      </w:r>
    </w:p>
    <w:p w14:paraId="7EA7EAE4">
      <w:pPr>
        <w:spacing w:before="312" w:beforeLines="100" w:after="312" w:afterLines="100" w:line="560" w:lineRule="exac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委托代理机构：</w:t>
      </w:r>
    </w:p>
    <w:p w14:paraId="0C772599">
      <w:pPr>
        <w:spacing w:before="312" w:beforeLines="100" w:after="312" w:afterLines="100" w:line="560" w:lineRule="exact"/>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合同签订地点：沈阳市沈河区东陵路120号沈阳农业大学</w:t>
      </w:r>
    </w:p>
    <w:p w14:paraId="65A4A935">
      <w:pPr>
        <w:spacing w:before="312" w:beforeLines="100" w:after="312" w:afterLines="100" w:line="480" w:lineRule="exact"/>
        <w:jc w:val="center"/>
        <w:rPr>
          <w:rFonts w:hint="eastAsia" w:ascii="仿宋_GB2312" w:hAnsi="仿宋_GB2312" w:eastAsia="仿宋_GB2312" w:cs="仿宋_GB2312"/>
          <w:b/>
          <w:color w:val="auto"/>
          <w:sz w:val="36"/>
          <w:szCs w:val="36"/>
          <w:highlight w:val="none"/>
        </w:rPr>
      </w:pPr>
      <w:r>
        <w:rPr>
          <w:rFonts w:hint="eastAsia" w:ascii="仿宋_GB2312" w:hAnsi="仿宋_GB2312" w:eastAsia="仿宋_GB2312" w:cs="仿宋_GB2312"/>
          <w:b/>
          <w:color w:val="auto"/>
          <w:sz w:val="32"/>
          <w:szCs w:val="32"/>
          <w:highlight w:val="none"/>
        </w:rPr>
        <w:br w:type="page"/>
      </w:r>
      <w:r>
        <w:rPr>
          <w:rFonts w:hint="eastAsia" w:ascii="仿宋_GB2312" w:hAnsi="仿宋_GB2312" w:eastAsia="仿宋_GB2312" w:cs="仿宋_GB2312"/>
          <w:b/>
          <w:color w:val="auto"/>
          <w:sz w:val="36"/>
          <w:szCs w:val="36"/>
          <w:highlight w:val="none"/>
        </w:rPr>
        <w:t>辽宁省政府采购合同</w:t>
      </w:r>
    </w:p>
    <w:p w14:paraId="2005233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政府采购合同编号：</w:t>
      </w:r>
      <w:r>
        <w:rPr>
          <w:rFonts w:hint="eastAsia" w:ascii="仿宋_GB2312" w:hAnsi="仿宋_GB2312" w:eastAsia="仿宋_GB2312" w:cs="仿宋_GB2312"/>
          <w:color w:val="auto"/>
          <w:sz w:val="24"/>
          <w:szCs w:val="24"/>
          <w:highlight w:val="none"/>
          <w:u w:val="single"/>
          <w:lang w:val="en-US" w:eastAsia="zh-CN"/>
        </w:rPr>
        <w:t xml:space="preserve">  </w:t>
      </w:r>
    </w:p>
    <w:p w14:paraId="0204AF0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 订 地 点：</w:t>
      </w:r>
      <w:r>
        <w:rPr>
          <w:rFonts w:hint="eastAsia" w:ascii="仿宋_GB2312" w:hAnsi="仿宋_GB2312" w:eastAsia="仿宋_GB2312" w:cs="仿宋_GB2312"/>
          <w:color w:val="auto"/>
          <w:sz w:val="24"/>
          <w:highlight w:val="none"/>
          <w:u w:val="single"/>
        </w:rPr>
        <w:t>沈阳市沈河区东陵路120号沈阳农业大学</w:t>
      </w:r>
    </w:p>
    <w:p w14:paraId="60CC32D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需方（买方）：</w:t>
      </w:r>
      <w:r>
        <w:rPr>
          <w:rFonts w:hint="eastAsia" w:ascii="仿宋_GB2312" w:hAnsi="仿宋_GB2312" w:eastAsia="仿宋_GB2312" w:cs="仿宋_GB2312"/>
          <w:color w:val="auto"/>
          <w:sz w:val="24"/>
          <w:highlight w:val="none"/>
          <w:u w:val="single"/>
        </w:rPr>
        <w:t>沈阳农业大学</w:t>
      </w:r>
    </w:p>
    <w:p w14:paraId="6C3758A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供方（卖方）：</w:t>
      </w:r>
      <w:r>
        <w:rPr>
          <w:rFonts w:hint="eastAsia" w:ascii="仿宋_GB2312" w:hAnsi="仿宋_GB2312" w:eastAsia="仿宋_GB2312" w:cs="仿宋_GB2312"/>
          <w:color w:val="auto"/>
          <w:sz w:val="24"/>
          <w:szCs w:val="24"/>
          <w:highlight w:val="none"/>
          <w:u w:val="single"/>
          <w:lang w:val="en-US" w:eastAsia="zh-CN"/>
        </w:rPr>
        <w:t xml:space="preserve">  </w:t>
      </w:r>
    </w:p>
    <w:p w14:paraId="6F5340D3">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供需双方根据《中华人民共和国民法典》和有关法律法规，遵循平等、自愿、公平和诚实信用原则，同意按照下面的条款和条件订立本政府采购合同，共同信守。</w:t>
      </w:r>
    </w:p>
    <w:p w14:paraId="3B9B3136">
      <w:pPr>
        <w:keepNext w:val="0"/>
        <w:keepLines w:val="0"/>
        <w:pageBreakBefore w:val="0"/>
        <w:widowControl w:val="0"/>
        <w:kinsoku/>
        <w:wordWrap/>
        <w:overflowPunct/>
        <w:topLinePunct w:val="0"/>
        <w:autoSpaceDE/>
        <w:autoSpaceDN/>
        <w:bidi w:val="0"/>
        <w:adjustRightInd/>
        <w:snapToGrid/>
        <w:spacing w:line="240" w:lineRule="auto"/>
        <w:ind w:firstLine="462"/>
        <w:jc w:val="left"/>
        <w:textAlignment w:val="auto"/>
        <w:outlineLvl w:val="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1.政府采购合同文件组成</w:t>
      </w:r>
    </w:p>
    <w:p w14:paraId="2EA6051F">
      <w:pPr>
        <w:keepNext w:val="0"/>
        <w:keepLines w:val="0"/>
        <w:pageBreakBefore w:val="0"/>
        <w:widowControl w:val="0"/>
        <w:kinsoku/>
        <w:wordWrap/>
        <w:overflowPunct/>
        <w:topLinePunct w:val="0"/>
        <w:autoSpaceDE/>
        <w:autoSpaceDN/>
        <w:bidi w:val="0"/>
        <w:adjustRightInd/>
        <w:snapToGrid/>
        <w:spacing w:line="240" w:lineRule="auto"/>
        <w:ind w:firstLine="465"/>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本政府采购合同所附下列文件是构成本政府采购合同不可分割的部分：</w:t>
      </w:r>
    </w:p>
    <w:p w14:paraId="60516AB2">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1.1招标文件（招标文件编号：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highlight w:val="none"/>
        </w:rPr>
        <w:t>）</w:t>
      </w:r>
    </w:p>
    <w:p w14:paraId="73B3B0E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1.2投标文件（投标文件编号：</w:t>
      </w:r>
      <w:r>
        <w:rPr>
          <w:rFonts w:hint="eastAsia" w:ascii="仿宋_GB2312" w:hAnsi="仿宋_GB2312" w:eastAsia="仿宋_GB2312" w:cs="仿宋_GB2312"/>
          <w:color w:val="auto"/>
          <w:sz w:val="24"/>
          <w:szCs w:val="24"/>
          <w:highlight w:val="none"/>
          <w:u w:val="single"/>
          <w:lang w:val="en-US" w:eastAsia="zh-CN"/>
        </w:rPr>
        <w:t xml:space="preserve">  </w:t>
      </w:r>
      <w:r>
        <w:rPr>
          <w:rFonts w:hint="eastAsia" w:ascii="仿宋_GB2312" w:hAnsi="仿宋_GB2312" w:eastAsia="仿宋_GB2312" w:cs="仿宋_GB2312"/>
          <w:color w:val="auto"/>
          <w:sz w:val="24"/>
          <w:highlight w:val="none"/>
        </w:rPr>
        <w:t>）</w:t>
      </w:r>
    </w:p>
    <w:p w14:paraId="62EBEDDC">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1.3招标文件的更正公告、变更公告</w:t>
      </w:r>
    </w:p>
    <w:p w14:paraId="0E3B87BE">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1.4中标通知书</w:t>
      </w:r>
    </w:p>
    <w:p w14:paraId="1A765398">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2.货物名称、规格、数量、价格一览表</w:t>
      </w:r>
    </w:p>
    <w:p w14:paraId="0E21CCF9">
      <w:pPr>
        <w:spacing w:line="360" w:lineRule="exac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 xml:space="preserve">                                                    </w:t>
      </w:r>
      <w:r>
        <w:rPr>
          <w:rFonts w:hint="eastAsia" w:ascii="仿宋_GB2312" w:hAnsi="仿宋_GB2312" w:eastAsia="仿宋_GB2312" w:cs="仿宋_GB2312"/>
          <w:b/>
          <w:color w:val="auto"/>
          <w:sz w:val="24"/>
          <w:highlight w:val="none"/>
          <w:lang w:val="en-US" w:eastAsia="zh-CN"/>
        </w:rPr>
        <w:t xml:space="preserve">      </w:t>
      </w:r>
      <w:r>
        <w:rPr>
          <w:rFonts w:hint="eastAsia" w:ascii="仿宋_GB2312" w:hAnsi="仿宋_GB2312" w:eastAsia="仿宋_GB2312" w:cs="仿宋_GB2312"/>
          <w:b/>
          <w:color w:val="auto"/>
          <w:sz w:val="24"/>
          <w:highlight w:val="none"/>
        </w:rPr>
        <w:t>单位：元（人民币）</w:t>
      </w:r>
    </w:p>
    <w:tbl>
      <w:tblPr>
        <w:tblStyle w:val="25"/>
        <w:tblW w:w="103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9"/>
        <w:gridCol w:w="1203"/>
        <w:gridCol w:w="600"/>
        <w:gridCol w:w="777"/>
        <w:gridCol w:w="1128"/>
        <w:gridCol w:w="962"/>
        <w:gridCol w:w="1064"/>
        <w:gridCol w:w="1063"/>
        <w:gridCol w:w="846"/>
        <w:gridCol w:w="763"/>
        <w:gridCol w:w="1037"/>
      </w:tblGrid>
      <w:tr w14:paraId="308FF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tblHeader/>
          <w:jc w:val="center"/>
        </w:trPr>
        <w:tc>
          <w:tcPr>
            <w:tcW w:w="889" w:type="dxa"/>
            <w:tcBorders>
              <w:top w:val="double" w:color="auto" w:sz="4" w:space="0"/>
              <w:left w:val="double" w:color="auto" w:sz="4" w:space="0"/>
              <w:bottom w:val="single" w:color="auto" w:sz="6" w:space="0"/>
            </w:tcBorders>
            <w:noWrap w:val="0"/>
            <w:vAlign w:val="center"/>
          </w:tcPr>
          <w:p w14:paraId="17CE0D55">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品目号</w:t>
            </w:r>
          </w:p>
        </w:tc>
        <w:tc>
          <w:tcPr>
            <w:tcW w:w="1203" w:type="dxa"/>
            <w:tcBorders>
              <w:top w:val="double" w:color="auto" w:sz="4" w:space="0"/>
              <w:left w:val="single" w:color="auto" w:sz="4" w:space="0"/>
              <w:bottom w:val="single" w:color="auto" w:sz="6" w:space="0"/>
            </w:tcBorders>
            <w:noWrap w:val="0"/>
            <w:vAlign w:val="center"/>
          </w:tcPr>
          <w:p w14:paraId="0ED64402">
            <w:pPr>
              <w:keepNext w:val="0"/>
              <w:keepLines w:val="0"/>
              <w:pageBreakBefore w:val="0"/>
              <w:widowControl w:val="0"/>
              <w:kinsoku/>
              <w:wordWrap/>
              <w:overflowPunct/>
              <w:topLinePunct w:val="0"/>
              <w:autoSpaceDE/>
              <w:autoSpaceDN/>
              <w:bidi w:val="0"/>
              <w:adjustRightInd/>
              <w:snapToGrid/>
              <w:spacing w:line="360" w:lineRule="exact"/>
              <w:ind w:left="0" w:leftChars="0"/>
              <w:jc w:val="center"/>
              <w:textAlignment w:val="auto"/>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货物名称</w:t>
            </w:r>
          </w:p>
        </w:tc>
        <w:tc>
          <w:tcPr>
            <w:tcW w:w="600" w:type="dxa"/>
            <w:tcBorders>
              <w:top w:val="double" w:color="auto" w:sz="4" w:space="0"/>
              <w:bottom w:val="single" w:color="auto" w:sz="6" w:space="0"/>
              <w:right w:val="single" w:color="auto" w:sz="4" w:space="0"/>
            </w:tcBorders>
            <w:noWrap w:val="0"/>
            <w:vAlign w:val="center"/>
          </w:tcPr>
          <w:p w14:paraId="78634B27">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数量</w:t>
            </w:r>
          </w:p>
        </w:tc>
        <w:tc>
          <w:tcPr>
            <w:tcW w:w="777" w:type="dxa"/>
            <w:tcBorders>
              <w:top w:val="double" w:color="auto" w:sz="4" w:space="0"/>
              <w:bottom w:val="single" w:color="auto" w:sz="6" w:space="0"/>
              <w:right w:val="single" w:color="auto" w:sz="4" w:space="0"/>
            </w:tcBorders>
            <w:noWrap w:val="0"/>
            <w:vAlign w:val="center"/>
          </w:tcPr>
          <w:p w14:paraId="3F6ED592">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品牌</w:t>
            </w:r>
          </w:p>
        </w:tc>
        <w:tc>
          <w:tcPr>
            <w:tcW w:w="1128" w:type="dxa"/>
            <w:tcBorders>
              <w:top w:val="double" w:color="auto" w:sz="4" w:space="0"/>
              <w:bottom w:val="single" w:color="auto" w:sz="6" w:space="0"/>
              <w:right w:val="single" w:color="auto" w:sz="4" w:space="0"/>
            </w:tcBorders>
            <w:noWrap w:val="0"/>
            <w:vAlign w:val="center"/>
          </w:tcPr>
          <w:p w14:paraId="617250F9">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规格</w:t>
            </w:r>
          </w:p>
        </w:tc>
        <w:tc>
          <w:tcPr>
            <w:tcW w:w="962" w:type="dxa"/>
            <w:tcBorders>
              <w:top w:val="double" w:color="auto" w:sz="4" w:space="0"/>
              <w:bottom w:val="single" w:color="auto" w:sz="6" w:space="0"/>
              <w:right w:val="single" w:color="auto" w:sz="4" w:space="0"/>
            </w:tcBorders>
            <w:noWrap w:val="0"/>
            <w:vAlign w:val="center"/>
          </w:tcPr>
          <w:p w14:paraId="1F629493">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型号</w:t>
            </w:r>
          </w:p>
        </w:tc>
        <w:tc>
          <w:tcPr>
            <w:tcW w:w="1064" w:type="dxa"/>
            <w:tcBorders>
              <w:top w:val="double" w:color="auto" w:sz="4" w:space="0"/>
              <w:left w:val="single" w:color="auto" w:sz="4" w:space="0"/>
              <w:bottom w:val="single" w:color="auto" w:sz="6" w:space="0"/>
              <w:right w:val="single" w:color="auto" w:sz="4" w:space="0"/>
            </w:tcBorders>
            <w:noWrap w:val="0"/>
            <w:vAlign w:val="center"/>
          </w:tcPr>
          <w:p w14:paraId="46EE75DB">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制造厂商名称</w:t>
            </w:r>
          </w:p>
        </w:tc>
        <w:tc>
          <w:tcPr>
            <w:tcW w:w="1063" w:type="dxa"/>
            <w:tcBorders>
              <w:top w:val="double" w:color="auto" w:sz="4" w:space="0"/>
              <w:left w:val="single" w:color="auto" w:sz="4" w:space="0"/>
              <w:bottom w:val="single" w:color="auto" w:sz="6" w:space="0"/>
            </w:tcBorders>
            <w:noWrap w:val="0"/>
            <w:vAlign w:val="center"/>
          </w:tcPr>
          <w:p w14:paraId="4B46C20F">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lang w:val="en-US" w:eastAsia="zh-CN"/>
              </w:rPr>
              <w:t>实际生</w:t>
            </w:r>
            <w:r>
              <w:rPr>
                <w:rFonts w:hint="eastAsia" w:ascii="仿宋_GB2312" w:hAnsi="仿宋_GB2312" w:eastAsia="仿宋_GB2312" w:cs="仿宋_GB2312"/>
                <w:b/>
                <w:color w:val="auto"/>
                <w:sz w:val="24"/>
                <w:highlight w:val="none"/>
              </w:rPr>
              <w:t>产地</w:t>
            </w:r>
          </w:p>
        </w:tc>
        <w:tc>
          <w:tcPr>
            <w:tcW w:w="846" w:type="dxa"/>
            <w:tcBorders>
              <w:top w:val="double" w:color="auto" w:sz="4" w:space="0"/>
              <w:bottom w:val="single" w:color="auto" w:sz="6" w:space="0"/>
            </w:tcBorders>
            <w:noWrap w:val="0"/>
            <w:vAlign w:val="center"/>
          </w:tcPr>
          <w:p w14:paraId="165BD2A0">
            <w:pPr>
              <w:spacing w:line="360" w:lineRule="exact"/>
              <w:jc w:val="center"/>
              <w:rPr>
                <w:rFonts w:hint="eastAsia" w:ascii="仿宋_GB2312" w:hAnsi="仿宋_GB2312" w:eastAsia="仿宋_GB2312" w:cs="仿宋_GB2312"/>
                <w:b/>
                <w:color w:val="auto"/>
                <w:sz w:val="24"/>
                <w:highlight w:val="none"/>
                <w:lang w:val="en-US" w:eastAsia="zh-CN"/>
              </w:rPr>
            </w:pPr>
            <w:r>
              <w:rPr>
                <w:rFonts w:hint="eastAsia" w:ascii="仿宋_GB2312" w:hAnsi="仿宋_GB2312" w:eastAsia="仿宋_GB2312" w:cs="仿宋_GB2312"/>
                <w:b/>
                <w:color w:val="auto"/>
                <w:sz w:val="24"/>
                <w:highlight w:val="none"/>
                <w:lang w:val="en-US" w:eastAsia="zh-CN"/>
              </w:rPr>
              <w:t>国产/进口</w:t>
            </w:r>
          </w:p>
        </w:tc>
        <w:tc>
          <w:tcPr>
            <w:tcW w:w="763" w:type="dxa"/>
            <w:tcBorders>
              <w:top w:val="double" w:color="auto" w:sz="4" w:space="0"/>
              <w:bottom w:val="single" w:color="auto" w:sz="6" w:space="0"/>
            </w:tcBorders>
            <w:noWrap w:val="0"/>
            <w:vAlign w:val="center"/>
          </w:tcPr>
          <w:p w14:paraId="79EECBAC">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单价</w:t>
            </w:r>
            <w:r>
              <w:rPr>
                <w:rFonts w:hint="eastAsia" w:ascii="仿宋_GB2312" w:hAnsi="仿宋_GB2312" w:eastAsia="仿宋_GB2312" w:cs="仿宋_GB2312"/>
                <w:b/>
                <w:color w:val="auto"/>
                <w:sz w:val="24"/>
                <w:highlight w:val="none"/>
                <w:lang w:eastAsia="zh-CN"/>
              </w:rPr>
              <w:t>（</w:t>
            </w:r>
            <w:r>
              <w:rPr>
                <w:rFonts w:hint="eastAsia" w:ascii="仿宋_GB2312" w:hAnsi="仿宋_GB2312" w:eastAsia="仿宋_GB2312" w:cs="仿宋_GB2312"/>
                <w:b/>
                <w:color w:val="auto"/>
                <w:sz w:val="24"/>
                <w:highlight w:val="none"/>
              </w:rPr>
              <w:t>元</w:t>
            </w:r>
            <w:r>
              <w:rPr>
                <w:rFonts w:hint="eastAsia" w:ascii="仿宋_GB2312" w:hAnsi="仿宋_GB2312" w:eastAsia="仿宋_GB2312" w:cs="仿宋_GB2312"/>
                <w:b/>
                <w:color w:val="auto"/>
                <w:sz w:val="24"/>
                <w:highlight w:val="none"/>
                <w:lang w:eastAsia="zh-CN"/>
              </w:rPr>
              <w:t>）</w:t>
            </w:r>
          </w:p>
        </w:tc>
        <w:tc>
          <w:tcPr>
            <w:tcW w:w="1037" w:type="dxa"/>
            <w:tcBorders>
              <w:top w:val="double" w:color="auto" w:sz="4" w:space="0"/>
              <w:bottom w:val="single" w:color="auto" w:sz="6" w:space="0"/>
              <w:right w:val="double" w:color="auto" w:sz="4" w:space="0"/>
            </w:tcBorders>
            <w:noWrap w:val="0"/>
            <w:vAlign w:val="center"/>
          </w:tcPr>
          <w:p w14:paraId="5AE3C493">
            <w:pPr>
              <w:spacing w:line="360" w:lineRule="exact"/>
              <w:jc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总价（元）</w:t>
            </w:r>
          </w:p>
        </w:tc>
      </w:tr>
      <w:tr w14:paraId="5955B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5A4A40B7">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4EEBF3CD">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15DC44BD">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3A60EF19">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74B1B5F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3DC4015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78589B63">
            <w:pPr>
              <w:widowControl/>
              <w:spacing w:line="360" w:lineRule="exact"/>
              <w:jc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6A29026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06A2D02A">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41A540E1">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580F6CEB">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0CBFBC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765C1589">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7621F7DE">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5B59F85A">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24C01B74">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21C8D9C0">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297B017B">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387447D4">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60465800">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2ED77305">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1340DC4A">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5626550B">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048E39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34C7BDE9">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7BA14BE6">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02C63A77">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257CD14D">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6F0590ED">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29E81B34">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4D511A97">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02A1B83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565D52F4">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0D417898">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1A8DDD20">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2D50AF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7013D9C3">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2683D007">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451A0632">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21C886FF">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530A7C3F">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38378C5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5D2E7589">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66ED9ACF">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041A46E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1DABD4A2">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107C9103">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09CC07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5AE1B3D2">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16789E26">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68C93037">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05E34E6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2DECBD8B">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22C3A79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7EEB1A8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0BD4CAF0">
            <w:pPr>
              <w:spacing w:line="360" w:lineRule="exact"/>
              <w:jc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29B3FF03">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0B77D78A">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45A69F95">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258587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522FD35F">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15B0AE98">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73F27302">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0B34C04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789020C3">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1581CB6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077EA3B2">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1783859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3A137194">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688B5713">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5FB3A117">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5E6EAA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3D80C2BE">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0ACD6158">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39CB1D25">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10D375D8">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6ADA0950">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026CCDB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4B26B001">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08DBC855">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1DD8B40F">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762AA06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09096E43">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437A61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120D0C32">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11FCEA24">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0235330A">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0C317A8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4DAF2AF3">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39DE077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4654F641">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5CAD893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0594190A">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0C25E56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07A794A3">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10F7F7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68AD9E70">
            <w:pPr>
              <w:widowControl/>
              <w:spacing w:line="360" w:lineRule="exact"/>
              <w:jc w:val="center"/>
              <w:rPr>
                <w:rFonts w:hint="eastAsia" w:ascii="仿宋_GB2312" w:hAnsi="仿宋_GB2312" w:eastAsia="仿宋_GB2312" w:cs="仿宋_GB2312"/>
                <w:color w:val="auto"/>
                <w:sz w:val="24"/>
                <w:highlight w:val="none"/>
              </w:rPr>
            </w:pPr>
          </w:p>
        </w:tc>
        <w:tc>
          <w:tcPr>
            <w:tcW w:w="1203" w:type="dxa"/>
            <w:tcBorders>
              <w:top w:val="single" w:color="auto" w:sz="6" w:space="0"/>
              <w:left w:val="single" w:color="auto" w:sz="4" w:space="0"/>
              <w:bottom w:val="single" w:color="auto" w:sz="6" w:space="0"/>
            </w:tcBorders>
            <w:noWrap w:val="0"/>
            <w:vAlign w:val="center"/>
          </w:tcPr>
          <w:p w14:paraId="32989A79">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16F97263">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7927ED04">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6833162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1946EAC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2D2A9A85">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26C5B3F0">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77CF1F32">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694A14C8">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49313794">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14108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4A7CD6EC">
            <w:pPr>
              <w:widowControl/>
              <w:spacing w:line="360" w:lineRule="exact"/>
              <w:jc w:val="center"/>
              <w:rPr>
                <w:rFonts w:hint="eastAsia" w:ascii="仿宋_GB2312" w:hAnsi="仿宋_GB2312" w:eastAsia="仿宋_GB2312" w:cs="仿宋_GB2312"/>
                <w:color w:val="auto"/>
                <w:kern w:val="0"/>
                <w:sz w:val="24"/>
                <w:highlight w:val="none"/>
                <w:lang w:val="en-US" w:eastAsia="zh-CN"/>
              </w:rPr>
            </w:pPr>
          </w:p>
        </w:tc>
        <w:tc>
          <w:tcPr>
            <w:tcW w:w="1203" w:type="dxa"/>
            <w:tcBorders>
              <w:top w:val="single" w:color="auto" w:sz="6" w:space="0"/>
              <w:left w:val="single" w:color="auto" w:sz="4" w:space="0"/>
              <w:bottom w:val="single" w:color="auto" w:sz="6" w:space="0"/>
            </w:tcBorders>
            <w:noWrap w:val="0"/>
            <w:vAlign w:val="center"/>
          </w:tcPr>
          <w:p w14:paraId="5DCF7289">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6A7CC121">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6BD20F79">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7BF0C28D">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7B138099">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367CC3A7">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1F1EC168">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564D930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35FEF737">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5E150E8F">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12595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79070480">
            <w:pPr>
              <w:widowControl/>
              <w:spacing w:line="360" w:lineRule="exact"/>
              <w:jc w:val="center"/>
              <w:rPr>
                <w:rFonts w:hint="eastAsia" w:ascii="仿宋_GB2312" w:hAnsi="仿宋_GB2312" w:eastAsia="仿宋_GB2312" w:cs="仿宋_GB2312"/>
                <w:color w:val="auto"/>
                <w:kern w:val="0"/>
                <w:sz w:val="24"/>
                <w:highlight w:val="none"/>
                <w:lang w:val="en-US" w:eastAsia="zh-CN"/>
              </w:rPr>
            </w:pPr>
          </w:p>
        </w:tc>
        <w:tc>
          <w:tcPr>
            <w:tcW w:w="1203" w:type="dxa"/>
            <w:tcBorders>
              <w:top w:val="single" w:color="auto" w:sz="6" w:space="0"/>
              <w:left w:val="single" w:color="auto" w:sz="4" w:space="0"/>
              <w:bottom w:val="single" w:color="auto" w:sz="6" w:space="0"/>
            </w:tcBorders>
            <w:noWrap w:val="0"/>
            <w:vAlign w:val="center"/>
          </w:tcPr>
          <w:p w14:paraId="2DB08504">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3DC47759">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47E92834">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3F135E2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49EE348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382A4B8B">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4DB6CA97">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2B246132">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6F4B32B1">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404CFD56">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7B4815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29490BCF">
            <w:pPr>
              <w:widowControl/>
              <w:spacing w:line="360" w:lineRule="exact"/>
              <w:jc w:val="center"/>
              <w:rPr>
                <w:rFonts w:hint="eastAsia" w:ascii="仿宋_GB2312" w:hAnsi="仿宋_GB2312" w:eastAsia="仿宋_GB2312" w:cs="仿宋_GB2312"/>
                <w:color w:val="auto"/>
                <w:kern w:val="0"/>
                <w:sz w:val="24"/>
                <w:highlight w:val="none"/>
                <w:lang w:val="en-US" w:eastAsia="zh-CN"/>
              </w:rPr>
            </w:pPr>
          </w:p>
        </w:tc>
        <w:tc>
          <w:tcPr>
            <w:tcW w:w="1203" w:type="dxa"/>
            <w:tcBorders>
              <w:top w:val="single" w:color="auto" w:sz="6" w:space="0"/>
              <w:left w:val="single" w:color="auto" w:sz="4" w:space="0"/>
              <w:bottom w:val="single" w:color="auto" w:sz="6" w:space="0"/>
            </w:tcBorders>
            <w:noWrap w:val="0"/>
            <w:vAlign w:val="center"/>
          </w:tcPr>
          <w:p w14:paraId="1FF66CA6">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709421CB">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72E71F22">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19ACCE8D">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7686D278">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380A9477">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6B583CB1">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7794EDAB">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52355EE9">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6BB12C0F">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455D4C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73E30B84">
            <w:pPr>
              <w:widowControl/>
              <w:spacing w:line="360" w:lineRule="exact"/>
              <w:jc w:val="center"/>
              <w:rPr>
                <w:rFonts w:hint="eastAsia" w:ascii="仿宋_GB2312" w:hAnsi="仿宋_GB2312" w:eastAsia="仿宋_GB2312" w:cs="仿宋_GB2312"/>
                <w:color w:val="auto"/>
                <w:kern w:val="0"/>
                <w:sz w:val="24"/>
                <w:highlight w:val="none"/>
                <w:lang w:val="en-US" w:eastAsia="zh-CN"/>
              </w:rPr>
            </w:pPr>
          </w:p>
        </w:tc>
        <w:tc>
          <w:tcPr>
            <w:tcW w:w="1203" w:type="dxa"/>
            <w:tcBorders>
              <w:top w:val="single" w:color="auto" w:sz="6" w:space="0"/>
              <w:left w:val="single" w:color="auto" w:sz="4" w:space="0"/>
              <w:bottom w:val="single" w:color="auto" w:sz="6" w:space="0"/>
            </w:tcBorders>
            <w:noWrap w:val="0"/>
            <w:vAlign w:val="center"/>
          </w:tcPr>
          <w:p w14:paraId="61246204">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2FF6AE8F">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7131F902">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1C5FA05B">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61C7CA4D">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63560314">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560C6965">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2F93A180">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6176EE7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0E2ABDE3">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736213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07524E31">
            <w:pPr>
              <w:widowControl/>
              <w:spacing w:line="360" w:lineRule="exact"/>
              <w:jc w:val="center"/>
              <w:rPr>
                <w:rFonts w:hint="eastAsia" w:ascii="仿宋_GB2312" w:hAnsi="仿宋_GB2312" w:eastAsia="仿宋_GB2312" w:cs="仿宋_GB2312"/>
                <w:color w:val="auto"/>
                <w:kern w:val="0"/>
                <w:sz w:val="24"/>
                <w:highlight w:val="none"/>
                <w:lang w:val="en-US" w:eastAsia="zh-CN"/>
              </w:rPr>
            </w:pPr>
          </w:p>
        </w:tc>
        <w:tc>
          <w:tcPr>
            <w:tcW w:w="1203" w:type="dxa"/>
            <w:tcBorders>
              <w:top w:val="single" w:color="auto" w:sz="6" w:space="0"/>
              <w:left w:val="single" w:color="auto" w:sz="4" w:space="0"/>
              <w:bottom w:val="single" w:color="auto" w:sz="6" w:space="0"/>
            </w:tcBorders>
            <w:noWrap w:val="0"/>
            <w:vAlign w:val="center"/>
          </w:tcPr>
          <w:p w14:paraId="56096EBA">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242652C1">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3140BB89">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004829C5">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30E5043F">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4CD0EE35">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2464F235">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37002100">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615401EA">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4E1BABC9">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5587CD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716F5D31">
            <w:pPr>
              <w:widowControl/>
              <w:spacing w:line="360" w:lineRule="exact"/>
              <w:jc w:val="center"/>
              <w:rPr>
                <w:rFonts w:hint="eastAsia" w:ascii="仿宋_GB2312" w:hAnsi="仿宋_GB2312" w:eastAsia="仿宋_GB2312" w:cs="仿宋_GB2312"/>
                <w:color w:val="auto"/>
                <w:kern w:val="0"/>
                <w:sz w:val="24"/>
                <w:highlight w:val="none"/>
                <w:lang w:val="en-US" w:eastAsia="zh-CN"/>
              </w:rPr>
            </w:pPr>
          </w:p>
        </w:tc>
        <w:tc>
          <w:tcPr>
            <w:tcW w:w="1203" w:type="dxa"/>
            <w:tcBorders>
              <w:top w:val="single" w:color="auto" w:sz="6" w:space="0"/>
              <w:left w:val="single" w:color="auto" w:sz="4" w:space="0"/>
              <w:bottom w:val="single" w:color="auto" w:sz="6" w:space="0"/>
            </w:tcBorders>
            <w:noWrap w:val="0"/>
            <w:vAlign w:val="center"/>
          </w:tcPr>
          <w:p w14:paraId="0226A12C">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07E70F1F">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4546910E">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7EA68685">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5A4B133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5D6E9D6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7C1D0546">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210F6DEA">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1009C610">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40DD1CE9">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6903B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889" w:type="dxa"/>
            <w:tcBorders>
              <w:top w:val="single" w:color="auto" w:sz="6" w:space="0"/>
              <w:left w:val="double" w:color="auto" w:sz="4" w:space="0"/>
              <w:bottom w:val="single" w:color="auto" w:sz="6" w:space="0"/>
            </w:tcBorders>
            <w:noWrap w:val="0"/>
            <w:vAlign w:val="center"/>
          </w:tcPr>
          <w:p w14:paraId="7149667F">
            <w:pPr>
              <w:widowControl/>
              <w:spacing w:line="360" w:lineRule="exact"/>
              <w:jc w:val="center"/>
              <w:rPr>
                <w:rFonts w:hint="eastAsia" w:ascii="仿宋_GB2312" w:hAnsi="仿宋_GB2312" w:eastAsia="仿宋_GB2312" w:cs="仿宋_GB2312"/>
                <w:color w:val="auto"/>
                <w:kern w:val="0"/>
                <w:sz w:val="24"/>
                <w:highlight w:val="none"/>
                <w:lang w:val="en-US" w:eastAsia="zh-CN"/>
              </w:rPr>
            </w:pPr>
          </w:p>
        </w:tc>
        <w:tc>
          <w:tcPr>
            <w:tcW w:w="1203" w:type="dxa"/>
            <w:tcBorders>
              <w:top w:val="single" w:color="auto" w:sz="6" w:space="0"/>
              <w:left w:val="single" w:color="auto" w:sz="4" w:space="0"/>
              <w:bottom w:val="single" w:color="auto" w:sz="6" w:space="0"/>
            </w:tcBorders>
            <w:noWrap w:val="0"/>
            <w:vAlign w:val="center"/>
          </w:tcPr>
          <w:p w14:paraId="58733079">
            <w:pPr>
              <w:widowControl/>
              <w:spacing w:line="360" w:lineRule="exact"/>
              <w:jc w:val="center"/>
              <w:rPr>
                <w:rFonts w:hint="eastAsia" w:ascii="仿宋_GB2312" w:hAnsi="仿宋_GB2312" w:eastAsia="仿宋_GB2312" w:cs="仿宋_GB2312"/>
                <w:color w:val="auto"/>
                <w:sz w:val="24"/>
                <w:highlight w:val="none"/>
              </w:rPr>
            </w:pPr>
          </w:p>
        </w:tc>
        <w:tc>
          <w:tcPr>
            <w:tcW w:w="600" w:type="dxa"/>
            <w:tcBorders>
              <w:top w:val="single" w:color="auto" w:sz="6" w:space="0"/>
              <w:bottom w:val="single" w:color="auto" w:sz="6" w:space="0"/>
              <w:right w:val="single" w:color="auto" w:sz="4" w:space="0"/>
            </w:tcBorders>
            <w:noWrap w:val="0"/>
            <w:vAlign w:val="center"/>
          </w:tcPr>
          <w:p w14:paraId="324D7820">
            <w:pPr>
              <w:widowControl/>
              <w:spacing w:line="360" w:lineRule="exact"/>
              <w:jc w:val="center"/>
              <w:rPr>
                <w:rFonts w:hint="eastAsia" w:ascii="仿宋_GB2312" w:hAnsi="仿宋_GB2312" w:eastAsia="仿宋_GB2312" w:cs="仿宋_GB2312"/>
                <w:color w:val="auto"/>
                <w:sz w:val="24"/>
                <w:highlight w:val="none"/>
              </w:rPr>
            </w:pPr>
          </w:p>
        </w:tc>
        <w:tc>
          <w:tcPr>
            <w:tcW w:w="777" w:type="dxa"/>
            <w:tcBorders>
              <w:top w:val="single" w:color="auto" w:sz="6" w:space="0"/>
              <w:bottom w:val="single" w:color="auto" w:sz="6" w:space="0"/>
              <w:right w:val="single" w:color="auto" w:sz="4" w:space="0"/>
            </w:tcBorders>
            <w:noWrap w:val="0"/>
            <w:vAlign w:val="center"/>
          </w:tcPr>
          <w:p w14:paraId="518F2883">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128" w:type="dxa"/>
            <w:tcBorders>
              <w:top w:val="single" w:color="auto" w:sz="6" w:space="0"/>
              <w:bottom w:val="single" w:color="auto" w:sz="6" w:space="0"/>
              <w:right w:val="single" w:color="auto" w:sz="4" w:space="0"/>
            </w:tcBorders>
            <w:noWrap w:val="0"/>
            <w:vAlign w:val="center"/>
          </w:tcPr>
          <w:p w14:paraId="511001E1">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962" w:type="dxa"/>
            <w:tcBorders>
              <w:top w:val="single" w:color="auto" w:sz="6" w:space="0"/>
              <w:bottom w:val="single" w:color="auto" w:sz="6" w:space="0"/>
              <w:right w:val="single" w:color="auto" w:sz="4" w:space="0"/>
            </w:tcBorders>
            <w:noWrap w:val="0"/>
            <w:vAlign w:val="center"/>
          </w:tcPr>
          <w:p w14:paraId="2DEF1822">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4" w:type="dxa"/>
            <w:tcBorders>
              <w:top w:val="single" w:color="auto" w:sz="6" w:space="0"/>
              <w:left w:val="single" w:color="auto" w:sz="4" w:space="0"/>
              <w:bottom w:val="single" w:color="auto" w:sz="6" w:space="0"/>
              <w:right w:val="single" w:color="auto" w:sz="4" w:space="0"/>
            </w:tcBorders>
            <w:noWrap w:val="0"/>
            <w:vAlign w:val="center"/>
          </w:tcPr>
          <w:p w14:paraId="6FFE13F7">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63" w:type="dxa"/>
            <w:tcBorders>
              <w:top w:val="single" w:color="auto" w:sz="6" w:space="0"/>
              <w:left w:val="single" w:color="auto" w:sz="4" w:space="0"/>
              <w:bottom w:val="single" w:color="auto" w:sz="6" w:space="0"/>
            </w:tcBorders>
            <w:noWrap w:val="0"/>
            <w:vAlign w:val="center"/>
          </w:tcPr>
          <w:p w14:paraId="4D097BAC">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846" w:type="dxa"/>
            <w:tcBorders>
              <w:top w:val="single" w:color="auto" w:sz="6" w:space="0"/>
              <w:bottom w:val="single" w:color="auto" w:sz="6" w:space="0"/>
            </w:tcBorders>
            <w:noWrap w:val="0"/>
            <w:vAlign w:val="center"/>
          </w:tcPr>
          <w:p w14:paraId="17781551">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763" w:type="dxa"/>
            <w:tcBorders>
              <w:top w:val="single" w:color="auto" w:sz="6" w:space="0"/>
              <w:bottom w:val="single" w:color="auto" w:sz="6" w:space="0"/>
            </w:tcBorders>
            <w:noWrap w:val="0"/>
            <w:vAlign w:val="center"/>
          </w:tcPr>
          <w:p w14:paraId="29539DA7">
            <w:pPr>
              <w:widowControl/>
              <w:spacing w:line="360" w:lineRule="exact"/>
              <w:jc w:val="center"/>
              <w:textAlignment w:val="center"/>
              <w:rPr>
                <w:rFonts w:hint="eastAsia" w:ascii="仿宋_GB2312" w:hAnsi="仿宋_GB2312" w:eastAsia="仿宋_GB2312" w:cs="仿宋_GB2312"/>
                <w:color w:val="auto"/>
                <w:sz w:val="24"/>
                <w:highlight w:val="none"/>
              </w:rPr>
            </w:pPr>
          </w:p>
        </w:tc>
        <w:tc>
          <w:tcPr>
            <w:tcW w:w="1037" w:type="dxa"/>
            <w:tcBorders>
              <w:top w:val="single" w:color="auto" w:sz="6" w:space="0"/>
              <w:bottom w:val="single" w:color="auto" w:sz="6" w:space="0"/>
              <w:right w:val="double" w:color="auto" w:sz="4" w:space="0"/>
            </w:tcBorders>
            <w:noWrap w:val="0"/>
            <w:vAlign w:val="center"/>
          </w:tcPr>
          <w:p w14:paraId="244449C1">
            <w:pPr>
              <w:widowControl/>
              <w:spacing w:line="360" w:lineRule="exact"/>
              <w:jc w:val="center"/>
              <w:textAlignment w:val="center"/>
              <w:rPr>
                <w:rFonts w:hint="eastAsia" w:ascii="仿宋_GB2312" w:hAnsi="仿宋_GB2312" w:eastAsia="仿宋_GB2312" w:cs="仿宋_GB2312"/>
                <w:color w:val="auto"/>
                <w:sz w:val="24"/>
                <w:highlight w:val="none"/>
              </w:rPr>
            </w:pPr>
          </w:p>
        </w:tc>
      </w:tr>
      <w:tr w14:paraId="23743F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2692" w:type="dxa"/>
            <w:gridSpan w:val="3"/>
            <w:tcBorders>
              <w:top w:val="double" w:color="auto" w:sz="4" w:space="0"/>
              <w:left w:val="double" w:color="auto" w:sz="4" w:space="0"/>
              <w:bottom w:val="double" w:color="auto" w:sz="4" w:space="0"/>
              <w:right w:val="double" w:color="auto" w:sz="4" w:space="0"/>
            </w:tcBorders>
            <w:noWrap w:val="0"/>
            <w:vAlign w:val="center"/>
          </w:tcPr>
          <w:p w14:paraId="04282E06">
            <w:pPr>
              <w:spacing w:line="360" w:lineRule="exact"/>
              <w:jc w:val="center"/>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color w:val="auto"/>
                <w:sz w:val="24"/>
                <w:highlight w:val="none"/>
              </w:rPr>
              <w:t>合计（元）</w:t>
            </w:r>
          </w:p>
        </w:tc>
        <w:tc>
          <w:tcPr>
            <w:tcW w:w="7640" w:type="dxa"/>
            <w:gridSpan w:val="8"/>
            <w:tcBorders>
              <w:top w:val="double" w:color="auto" w:sz="4" w:space="0"/>
              <w:bottom w:val="double" w:color="auto" w:sz="4" w:space="0"/>
              <w:right w:val="double" w:color="auto" w:sz="4" w:space="0"/>
            </w:tcBorders>
            <w:noWrap w:val="0"/>
            <w:vAlign w:val="center"/>
          </w:tcPr>
          <w:p w14:paraId="11A55D58">
            <w:pPr>
              <w:spacing w:line="360" w:lineRule="exact"/>
              <w:jc w:val="center"/>
              <w:rPr>
                <w:rFonts w:hint="eastAsia" w:ascii="仿宋_GB2312" w:hAnsi="仿宋_GB2312" w:eastAsia="仿宋_GB2312" w:cs="仿宋_GB2312"/>
                <w:bCs/>
                <w:color w:val="auto"/>
                <w:sz w:val="24"/>
                <w:highlight w:val="none"/>
              </w:rPr>
            </w:pPr>
          </w:p>
        </w:tc>
      </w:tr>
    </w:tbl>
    <w:p w14:paraId="3D6B0BAB">
      <w:pPr>
        <w:tabs>
          <w:tab w:val="left" w:pos="0"/>
        </w:tabs>
        <w:spacing w:line="360" w:lineRule="exact"/>
        <w:ind w:firstLine="480" w:firstLineChars="200"/>
        <w:jc w:val="left"/>
        <w:rPr>
          <w:rFonts w:hint="eastAsia" w:ascii="仿宋_GB2312" w:hAnsi="仿宋_GB2312" w:eastAsia="仿宋_GB2312" w:cs="仿宋_GB2312"/>
          <w:color w:val="auto"/>
          <w:sz w:val="24"/>
          <w:highlight w:val="none"/>
        </w:rPr>
      </w:pPr>
    </w:p>
    <w:p w14:paraId="6F9445E2">
      <w:pPr>
        <w:tabs>
          <w:tab w:val="left" w:pos="0"/>
        </w:tabs>
        <w:spacing w:line="360" w:lineRule="exact"/>
        <w:ind w:firstLine="480"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本合同的总价为：人民币</w:t>
      </w:r>
      <w:r>
        <w:rPr>
          <w:rFonts w:hint="eastAsia" w:ascii="仿宋_GB2312" w:hAnsi="仿宋_GB2312" w:eastAsia="仿宋_GB2312" w:cs="仿宋_GB2312"/>
          <w:color w:val="auto"/>
          <w:sz w:val="24"/>
          <w:highlight w:val="none"/>
          <w:u w:val="single"/>
        </w:rPr>
        <w:fldChar w:fldCharType="begin"/>
      </w:r>
      <w:r>
        <w:rPr>
          <w:rFonts w:hint="eastAsia" w:ascii="仿宋_GB2312" w:hAnsi="仿宋_GB2312" w:eastAsia="仿宋_GB2312" w:cs="仿宋_GB2312"/>
          <w:color w:val="auto"/>
          <w:sz w:val="24"/>
          <w:highlight w:val="none"/>
          <w:u w:val="single"/>
        </w:rPr>
        <w:instrText xml:space="preserve"> = 783500 \* CHINESENUM4 \* MERGEFORMAT </w:instrText>
      </w:r>
      <w:r>
        <w:rPr>
          <w:rFonts w:hint="eastAsia" w:ascii="仿宋_GB2312" w:hAnsi="仿宋_GB2312" w:eastAsia="仿宋_GB2312" w:cs="仿宋_GB2312"/>
          <w:color w:val="auto"/>
          <w:sz w:val="24"/>
          <w:highlight w:val="none"/>
          <w:u w:val="single"/>
        </w:rPr>
        <w:fldChar w:fldCharType="separate"/>
      </w:r>
      <w:r>
        <w:rPr>
          <w:rFonts w:hint="eastAsia" w:ascii="仿宋_GB2312" w:hAnsi="仿宋_GB2312" w:eastAsia="仿宋_GB2312" w:cs="仿宋_GB2312"/>
          <w:b/>
          <w:bCs/>
          <w:color w:val="auto"/>
          <w:sz w:val="24"/>
          <w:highlight w:val="none"/>
          <w:u w:val="single"/>
          <w:lang w:val="en-US" w:eastAsia="zh-CN"/>
        </w:rPr>
        <w:t xml:space="preserve">  </w:t>
      </w:r>
      <w:r>
        <w:rPr>
          <w:rFonts w:hint="eastAsia" w:ascii="仿宋_GB2312" w:hAnsi="仿宋_GB2312" w:eastAsia="仿宋_GB2312" w:cs="仿宋_GB2312"/>
          <w:b/>
          <w:color w:val="auto"/>
          <w:sz w:val="24"/>
          <w:highlight w:val="none"/>
        </w:rPr>
        <w:t>元整</w:t>
      </w:r>
      <w:r>
        <w:rPr>
          <w:rFonts w:hint="eastAsia" w:ascii="仿宋_GB2312" w:hAnsi="仿宋_GB2312" w:eastAsia="仿宋_GB2312" w:cs="仿宋_GB2312"/>
          <w:color w:val="auto"/>
          <w:sz w:val="24"/>
          <w:highlight w:val="none"/>
          <w:u w:val="single"/>
        </w:rPr>
        <w:fldChar w:fldCharType="end"/>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bCs/>
          <w:color w:val="auto"/>
          <w:sz w:val="24"/>
          <w:highlight w:val="none"/>
          <w:u w:val="single"/>
          <w:lang w:val="en-US" w:eastAsia="zh-CN"/>
        </w:rPr>
        <w:t xml:space="preserve">  </w:t>
      </w:r>
      <w:r>
        <w:rPr>
          <w:rFonts w:hint="eastAsia" w:ascii="仿宋_GB2312" w:hAnsi="仿宋_GB2312" w:eastAsia="仿宋_GB2312" w:cs="仿宋_GB2312"/>
          <w:b/>
          <w:bCs/>
          <w:color w:val="auto"/>
          <w:sz w:val="24"/>
          <w:highlight w:val="none"/>
        </w:rPr>
        <w:t>元</w:t>
      </w:r>
      <w:r>
        <w:rPr>
          <w:rFonts w:hint="eastAsia" w:ascii="仿宋_GB2312" w:hAnsi="仿宋_GB2312" w:eastAsia="仿宋_GB2312" w:cs="仿宋_GB2312"/>
          <w:b/>
          <w:color w:val="auto"/>
          <w:sz w:val="24"/>
          <w:highlight w:val="none"/>
        </w:rPr>
        <w:t>）</w:t>
      </w:r>
    </w:p>
    <w:p w14:paraId="754783D6">
      <w:pPr>
        <w:adjustRightInd w:val="0"/>
        <w:snapToGrid w:val="0"/>
        <w:spacing w:line="36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总价包括货物、随配附件、办理进口货物报关及清关等相关费用、运至需方指定交货地点且经需方验收合格前的包装费、运费、装卸费、人工费、安装费、调试费、验收费等费用及售后服务费用、税金及其他所有相关费用的总和。需方不再单独支付其他任何费用）</w:t>
      </w:r>
    </w:p>
    <w:p w14:paraId="0F201997">
      <w:pPr>
        <w:tabs>
          <w:tab w:val="left" w:pos="0"/>
        </w:tabs>
        <w:spacing w:line="360" w:lineRule="exact"/>
        <w:ind w:firstLine="489" w:firstLineChars="204"/>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3.履约保证金</w:t>
      </w:r>
    </w:p>
    <w:p w14:paraId="6F8855C0">
      <w:pPr>
        <w:tabs>
          <w:tab w:val="left" w:pos="0"/>
        </w:tabs>
        <w:spacing w:line="360" w:lineRule="exact"/>
        <w:ind w:firstLine="489" w:firstLineChars="204"/>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3.1供方应在签订本合同</w:t>
      </w:r>
      <w:r>
        <w:rPr>
          <w:rFonts w:hint="eastAsia" w:ascii="仿宋_GB2312" w:hAnsi="仿宋_GB2312" w:eastAsia="仿宋_GB2312" w:cs="仿宋_GB2312"/>
          <w:color w:val="auto"/>
          <w:sz w:val="24"/>
          <w:highlight w:val="none"/>
          <w:lang w:eastAsia="zh-CN"/>
        </w:rPr>
        <w:t>的</w:t>
      </w:r>
      <w:r>
        <w:rPr>
          <w:rFonts w:hint="eastAsia" w:ascii="仿宋_GB2312" w:hAnsi="仿宋_GB2312" w:eastAsia="仿宋_GB2312" w:cs="仿宋_GB2312"/>
          <w:color w:val="auto"/>
          <w:sz w:val="24"/>
          <w:highlight w:val="none"/>
          <w:lang w:val="en-US" w:eastAsia="zh-CN"/>
        </w:rPr>
        <w:t>同时</w:t>
      </w:r>
      <w:r>
        <w:rPr>
          <w:rFonts w:hint="eastAsia" w:ascii="仿宋_GB2312" w:hAnsi="仿宋_GB2312" w:eastAsia="仿宋_GB2312" w:cs="仿宋_GB2312"/>
          <w:color w:val="auto"/>
          <w:sz w:val="24"/>
          <w:highlight w:val="none"/>
        </w:rPr>
        <w:t>，按合同总金额的2%向需方提交履约保证金。在本合同约定期限内到货，则在货物全部到货经需方接收，</w:t>
      </w:r>
      <w:r>
        <w:rPr>
          <w:rFonts w:hint="eastAsia" w:ascii="仿宋_GB2312" w:hAnsi="仿宋_GB2312" w:eastAsia="仿宋_GB2312" w:cs="仿宋_GB2312"/>
          <w:color w:val="auto"/>
          <w:sz w:val="24"/>
          <w:highlight w:val="none"/>
          <w:lang w:val="en-US" w:eastAsia="zh-CN"/>
        </w:rPr>
        <w:t>并安装调试验收合格后，</w:t>
      </w:r>
      <w:r>
        <w:rPr>
          <w:rFonts w:hint="eastAsia" w:ascii="仿宋_GB2312" w:hAnsi="仿宋_GB2312" w:eastAsia="仿宋_GB2312" w:cs="仿宋_GB2312"/>
          <w:color w:val="auto"/>
          <w:sz w:val="24"/>
          <w:highlight w:val="none"/>
        </w:rPr>
        <w:t>全额无息返还履约保证金；若货物延期，则按本合同13.3条约定自履约保证金中扣收逾期交货违约金，扣除逾期交货违约金后的余额在货物全部到货并经需方接收后，无息返还。履约保证金不足以支付逾期交货违约金的，供方应当另行支付不足部分。</w:t>
      </w:r>
    </w:p>
    <w:p w14:paraId="7B150B77">
      <w:pPr>
        <w:tabs>
          <w:tab w:val="left" w:pos="0"/>
        </w:tabs>
        <w:spacing w:line="360" w:lineRule="exact"/>
        <w:ind w:firstLine="489" w:firstLineChars="204"/>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3.2供方在合同签订后7个工作日内未全额交纳履约保证金的，则视为供方违约，需方有权解除本合同。</w:t>
      </w:r>
    </w:p>
    <w:p w14:paraId="5580B1D3">
      <w:pPr>
        <w:tabs>
          <w:tab w:val="left" w:pos="0"/>
        </w:tabs>
        <w:spacing w:line="360" w:lineRule="exact"/>
        <w:ind w:firstLine="489" w:firstLineChars="204"/>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4.交货地点、时间及有关费用</w:t>
      </w:r>
    </w:p>
    <w:p w14:paraId="09A7E392">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rPr>
        <w:t>交货地点：需方指定地点。</w:t>
      </w:r>
    </w:p>
    <w:p w14:paraId="33D81354">
      <w:pPr>
        <w:widowControl/>
        <w:shd w:val="clear" w:color="auto" w:fill="FFFFFF"/>
        <w:spacing w:line="360" w:lineRule="exact"/>
        <w:ind w:firstLine="489" w:firstLineChars="204"/>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rPr>
        <w:t>交货时间：</w:t>
      </w:r>
      <w:r>
        <w:rPr>
          <w:rFonts w:hint="eastAsia" w:ascii="仿宋_GB2312" w:hAnsi="仿宋_GB2312" w:eastAsia="仿宋_GB2312" w:cs="仿宋_GB2312"/>
          <w:color w:val="auto"/>
          <w:kern w:val="0"/>
          <w:sz w:val="24"/>
          <w:highlight w:val="none"/>
        </w:rPr>
        <w:t>国产货物，合同签订后</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日历天内将货物送到需方指定地点；进口货物，合同签订后</w:t>
      </w:r>
      <w:r>
        <w:rPr>
          <w:rFonts w:hint="eastAsia" w:ascii="仿宋_GB2312" w:hAnsi="仿宋_GB2312" w:eastAsia="仿宋_GB2312" w:cs="仿宋_GB2312"/>
          <w:color w:val="auto"/>
          <w:kern w:val="0"/>
          <w:sz w:val="24"/>
          <w:highlight w:val="none"/>
          <w:u w:val="single"/>
        </w:rPr>
        <w:t xml:space="preserve">  </w:t>
      </w:r>
      <w:r>
        <w:rPr>
          <w:rFonts w:hint="eastAsia" w:ascii="仿宋_GB2312" w:hAnsi="仿宋_GB2312" w:eastAsia="仿宋_GB2312" w:cs="仿宋_GB2312"/>
          <w:color w:val="auto"/>
          <w:kern w:val="0"/>
          <w:sz w:val="24"/>
          <w:highlight w:val="none"/>
        </w:rPr>
        <w:t>日历天内将货物送到需方指定地点。</w:t>
      </w:r>
    </w:p>
    <w:p w14:paraId="2AF6CB0E">
      <w:pPr>
        <w:widowControl/>
        <w:shd w:val="clear" w:color="auto" w:fill="FFFFFF"/>
        <w:spacing w:line="360" w:lineRule="exact"/>
        <w:ind w:firstLine="489" w:firstLineChars="204"/>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备注：与交货有关的费用已包含在合同之中，需方不再另行支付。本项目全部货物的包装、运输、安装调试、安全等及与包装、运输、安装调试、安全等相关的费用均由供方自行承担，含在投标报价中，供方需将货物</w:t>
      </w:r>
      <w:r>
        <w:rPr>
          <w:rFonts w:hint="eastAsia" w:ascii="仿宋_GB2312" w:hAnsi="仿宋_GB2312" w:eastAsia="仿宋_GB2312" w:cs="仿宋_GB2312"/>
          <w:color w:val="auto"/>
          <w:sz w:val="24"/>
          <w:highlight w:val="none"/>
          <w:lang w:val="en-US" w:eastAsia="zh-CN"/>
        </w:rPr>
        <w:t>及随配附件等</w:t>
      </w:r>
      <w:r>
        <w:rPr>
          <w:rFonts w:hint="eastAsia" w:ascii="仿宋_GB2312" w:hAnsi="仿宋_GB2312" w:eastAsia="仿宋_GB2312" w:cs="仿宋_GB2312"/>
          <w:color w:val="auto"/>
          <w:sz w:val="24"/>
          <w:highlight w:val="none"/>
        </w:rPr>
        <w:t>运</w:t>
      </w:r>
      <w:r>
        <w:rPr>
          <w:rFonts w:hint="eastAsia" w:ascii="仿宋_GB2312" w:hAnsi="仿宋_GB2312" w:eastAsia="仿宋_GB2312" w:cs="仿宋_GB2312"/>
          <w:color w:val="auto"/>
          <w:sz w:val="24"/>
          <w:highlight w:val="none"/>
          <w:lang w:val="en-US" w:eastAsia="zh-CN"/>
        </w:rPr>
        <w:t>抵</w:t>
      </w:r>
      <w:r>
        <w:rPr>
          <w:rFonts w:hint="eastAsia" w:ascii="仿宋_GB2312" w:hAnsi="仿宋_GB2312" w:eastAsia="仿宋_GB2312" w:cs="仿宋_GB2312"/>
          <w:color w:val="auto"/>
          <w:sz w:val="24"/>
          <w:highlight w:val="none"/>
        </w:rPr>
        <w:t>需方指定的地点（</w:t>
      </w:r>
      <w:r>
        <w:rPr>
          <w:rFonts w:hint="eastAsia" w:ascii="仿宋_GB2312" w:hAnsi="仿宋_GB2312" w:eastAsia="仿宋_GB2312" w:cs="仿宋_GB2312"/>
          <w:color w:val="auto"/>
          <w:sz w:val="24"/>
          <w:highlight w:val="none"/>
          <w:lang w:val="en-US" w:eastAsia="zh-CN"/>
        </w:rPr>
        <w:t>包括但不限于需方</w:t>
      </w:r>
      <w:r>
        <w:rPr>
          <w:rFonts w:hint="eastAsia" w:ascii="仿宋_GB2312" w:hAnsi="仿宋_GB2312" w:eastAsia="仿宋_GB2312" w:cs="仿宋_GB2312"/>
          <w:color w:val="auto"/>
          <w:sz w:val="24"/>
          <w:highlight w:val="none"/>
        </w:rPr>
        <w:t>指定的建筑、楼层、房间</w:t>
      </w:r>
      <w:r>
        <w:rPr>
          <w:rFonts w:hint="eastAsia" w:ascii="仿宋_GB2312" w:hAnsi="仿宋_GB2312" w:eastAsia="仿宋_GB2312" w:cs="仿宋_GB2312"/>
          <w:color w:val="auto"/>
          <w:sz w:val="24"/>
          <w:highlight w:val="none"/>
          <w:lang w:val="en-US" w:eastAsia="zh-CN"/>
        </w:rPr>
        <w:t>等</w:t>
      </w:r>
      <w:r>
        <w:rPr>
          <w:rFonts w:hint="eastAsia" w:ascii="仿宋_GB2312" w:hAnsi="仿宋_GB2312" w:eastAsia="仿宋_GB2312" w:cs="仿宋_GB2312"/>
          <w:color w:val="auto"/>
          <w:sz w:val="24"/>
          <w:highlight w:val="none"/>
        </w:rPr>
        <w:t>）。货物到货时，如果所到货物的明细（</w:t>
      </w:r>
      <w:r>
        <w:rPr>
          <w:rFonts w:hint="eastAsia" w:ascii="仿宋_GB2312" w:hAnsi="仿宋_GB2312" w:eastAsia="仿宋_GB2312" w:cs="仿宋_GB2312"/>
          <w:color w:val="auto"/>
          <w:sz w:val="24"/>
          <w:highlight w:val="none"/>
          <w:lang w:val="en-US" w:eastAsia="zh-CN"/>
        </w:rPr>
        <w:t>如：</w:t>
      </w:r>
      <w:r>
        <w:rPr>
          <w:rFonts w:hint="eastAsia" w:ascii="仿宋_GB2312" w:hAnsi="仿宋_GB2312" w:eastAsia="仿宋_GB2312" w:cs="仿宋_GB2312"/>
          <w:color w:val="auto"/>
          <w:sz w:val="24"/>
          <w:highlight w:val="none"/>
        </w:rPr>
        <w:t>品牌、</w:t>
      </w:r>
      <w:r>
        <w:rPr>
          <w:rFonts w:hint="eastAsia" w:ascii="仿宋_GB2312" w:hAnsi="仿宋_GB2312" w:eastAsia="仿宋_GB2312" w:cs="仿宋_GB2312"/>
          <w:color w:val="auto"/>
          <w:sz w:val="24"/>
          <w:highlight w:val="none"/>
          <w:lang w:val="en-US" w:eastAsia="zh-CN"/>
        </w:rPr>
        <w:t>规格</w:t>
      </w:r>
      <w:r>
        <w:rPr>
          <w:rFonts w:hint="eastAsia" w:ascii="仿宋_GB2312" w:hAnsi="仿宋_GB2312" w:eastAsia="仿宋_GB2312" w:cs="仿宋_GB2312"/>
          <w:color w:val="auto"/>
          <w:sz w:val="24"/>
          <w:highlight w:val="none"/>
        </w:rPr>
        <w:t>型号等）与响应文件或本合同</w:t>
      </w:r>
      <w:r>
        <w:rPr>
          <w:rFonts w:hint="eastAsia" w:ascii="仿宋_GB2312" w:hAnsi="仿宋_GB2312" w:eastAsia="仿宋_GB2312" w:cs="仿宋_GB2312"/>
          <w:color w:val="auto"/>
          <w:sz w:val="24"/>
          <w:highlight w:val="none"/>
          <w:lang w:val="en-US" w:eastAsia="zh-CN"/>
        </w:rPr>
        <w:t>约定内容</w:t>
      </w:r>
      <w:r>
        <w:rPr>
          <w:rFonts w:hint="eastAsia" w:ascii="仿宋_GB2312" w:hAnsi="仿宋_GB2312" w:eastAsia="仿宋_GB2312" w:cs="仿宋_GB2312"/>
          <w:color w:val="auto"/>
          <w:sz w:val="24"/>
          <w:highlight w:val="none"/>
        </w:rPr>
        <w:t>不一致，需方</w:t>
      </w:r>
      <w:r>
        <w:rPr>
          <w:rFonts w:hint="eastAsia" w:ascii="仿宋_GB2312" w:hAnsi="仿宋_GB2312" w:eastAsia="仿宋_GB2312" w:cs="仿宋_GB2312"/>
          <w:color w:val="auto"/>
          <w:sz w:val="24"/>
          <w:highlight w:val="none"/>
          <w:lang w:val="en-US" w:eastAsia="zh-CN"/>
        </w:rPr>
        <w:t>有权</w:t>
      </w:r>
      <w:r>
        <w:rPr>
          <w:rFonts w:hint="eastAsia" w:ascii="仿宋_GB2312" w:hAnsi="仿宋_GB2312" w:eastAsia="仿宋_GB2312" w:cs="仿宋_GB2312"/>
          <w:color w:val="auto"/>
          <w:sz w:val="24"/>
          <w:highlight w:val="none"/>
        </w:rPr>
        <w:t>拒绝接货。</w:t>
      </w:r>
    </w:p>
    <w:p w14:paraId="52411773">
      <w:pPr>
        <w:widowControl/>
        <w:shd w:val="clear" w:color="auto" w:fill="FFFFFF"/>
        <w:spacing w:line="360" w:lineRule="exact"/>
        <w:ind w:firstLine="465"/>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highlight w:val="none"/>
        </w:rPr>
        <w:t>5.付款</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color w:val="auto"/>
          <w:sz w:val="24"/>
          <w:szCs w:val="24"/>
          <w:highlight w:val="none"/>
          <w:lang w:val="en-US" w:eastAsia="zh-CN"/>
        </w:rPr>
        <w:t>5.1供方交货的同时应提交下列文件：标注该货物名称、规格、型号等信息的销售发票，货物如果为通用设备和专用设备，供方须给需方开具增值税专用发票。供方未能按时开具合格发票或提供发票不符合需方要求的，需方有权延付或拒付相应款项，且不承担任何逾期付款的法律责任。</w:t>
      </w:r>
    </w:p>
    <w:p w14:paraId="01807933">
      <w:pPr>
        <w:adjustRightInd w:val="0"/>
        <w:snapToGrid w:val="0"/>
        <w:spacing w:line="360" w:lineRule="exact"/>
        <w:ind w:firstLine="489" w:firstLineChars="204"/>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若供方成交的是海关免税货物，则供方必须提供以下材料并交付合格货物后，需方将货物款支付给供方：1.供方收款收据，后附①进口货物形式发票；②银行兑换证明（外汇水单）；③加盖供方公章的海关报关单；④进口设备外贸代理协议书；2.合同差额部分应由供方开具进口代理服务费税务发票。</w:t>
      </w:r>
    </w:p>
    <w:p w14:paraId="2275CE78">
      <w:pPr>
        <w:adjustRightInd w:val="0"/>
        <w:snapToGrid w:val="0"/>
        <w:spacing w:line="360" w:lineRule="exact"/>
        <w:ind w:firstLine="489" w:firstLineChars="204"/>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.2付款方式、条件：</w:t>
      </w:r>
      <w:r>
        <w:rPr>
          <w:rFonts w:hint="eastAsia" w:ascii="仿宋_GB2312" w:hAnsi="仿宋_GB2312" w:eastAsia="仿宋_GB2312" w:cs="仿宋_GB2312"/>
          <w:color w:val="auto"/>
          <w:kern w:val="0"/>
          <w:sz w:val="24"/>
          <w:szCs w:val="24"/>
          <w:highlight w:val="none"/>
        </w:rPr>
        <w:t xml:space="preserve"> </w:t>
      </w:r>
    </w:p>
    <w:p w14:paraId="6FB63D04">
      <w:pPr>
        <w:spacing w:line="360" w:lineRule="exact"/>
        <w:ind w:firstLine="477" w:firstLineChars="199"/>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供方按合同约定把货物送至需方指定地点，安装调试</w:t>
      </w:r>
      <w:r>
        <w:rPr>
          <w:rFonts w:hint="eastAsia" w:ascii="仿宋_GB2312" w:hAnsi="仿宋_GB2312" w:eastAsia="仿宋_GB2312" w:cs="仿宋_GB2312"/>
          <w:color w:val="auto"/>
          <w:sz w:val="24"/>
          <w:highlight w:val="none"/>
          <w:lang w:val="en-US" w:eastAsia="zh-CN"/>
        </w:rPr>
        <w:t>正常运行</w:t>
      </w:r>
      <w:r>
        <w:rPr>
          <w:rFonts w:hint="eastAsia" w:ascii="仿宋_GB2312" w:hAnsi="仿宋_GB2312" w:eastAsia="仿宋_GB2312" w:cs="仿宋_GB2312"/>
          <w:color w:val="auto"/>
          <w:sz w:val="24"/>
          <w:highlight w:val="none"/>
        </w:rPr>
        <w:t>并经需方验收合格后，支付政府采购合同总金额的百分之百（100%）。</w:t>
      </w:r>
    </w:p>
    <w:p w14:paraId="7F134610">
      <w:pPr>
        <w:spacing w:line="360" w:lineRule="exact"/>
        <w:ind w:firstLine="489" w:firstLineChars="204"/>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6.验收</w:t>
      </w:r>
    </w:p>
    <w:p w14:paraId="21DB9D31">
      <w:pPr>
        <w:spacing w:line="360" w:lineRule="exact"/>
        <w:ind w:firstLine="489" w:firstLineChars="204"/>
        <w:rPr>
          <w:rFonts w:hint="eastAsia" w:ascii="仿宋_GB2312" w:hAnsi="仿宋_GB2312" w:eastAsia="仿宋_GB2312" w:cs="仿宋_GB2312"/>
          <w:color w:val="auto"/>
          <w:sz w:val="24"/>
          <w:highlight w:val="none"/>
          <w:u w:val="single"/>
        </w:rPr>
      </w:pPr>
      <w:r>
        <w:rPr>
          <w:rFonts w:hint="eastAsia" w:ascii="仿宋_GB2312" w:hAnsi="仿宋_GB2312" w:eastAsia="仿宋_GB2312" w:cs="仿宋_GB2312"/>
          <w:color w:val="auto"/>
          <w:sz w:val="24"/>
          <w:highlight w:val="none"/>
        </w:rPr>
        <w:t>6.1本合同的验收期为货物送达交货地点安装调试并经</w:t>
      </w:r>
      <w:r>
        <w:rPr>
          <w:rFonts w:hint="eastAsia" w:ascii="仿宋_GB2312" w:hAnsi="仿宋_GB2312" w:eastAsia="仿宋_GB2312" w:cs="仿宋_GB2312"/>
          <w:color w:val="auto"/>
          <w:sz w:val="24"/>
          <w:highlight w:val="none"/>
          <w:lang w:val="en-US" w:eastAsia="zh-CN"/>
        </w:rPr>
        <w:t>需方</w:t>
      </w:r>
      <w:r>
        <w:rPr>
          <w:rFonts w:hint="eastAsia" w:ascii="仿宋_GB2312" w:hAnsi="仿宋_GB2312" w:eastAsia="仿宋_GB2312" w:cs="仿宋_GB2312"/>
          <w:color w:val="auto"/>
          <w:sz w:val="24"/>
          <w:highlight w:val="none"/>
        </w:rPr>
        <w:t>使用单位初验合格完毕后30个工作日内。在货物的安装、调试及试运行期间，如发现货物性能达不到招标文件或本合同的要求，需方有权退货。</w:t>
      </w:r>
    </w:p>
    <w:p w14:paraId="692814E4">
      <w:pPr>
        <w:tabs>
          <w:tab w:val="left" w:pos="0"/>
        </w:tabs>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6.2需方根据政府采购合同的规定接收货物，在使用单位初验后，采购代理机构依据《关于印发辽宁省政府采购履约验收管理办法的通知》（辽财采[2017]603号）对货物的品种、规格、性能、质量、数量、外观以及配件等进行验收。需方对货物的规格技术指标如有异议，应从验收结束之日起10个工作日内按照政府采购合同规定的方式提出。验收通过后，需方向供方收取本政府采购合同第5.1款所列明的销售发票等文件并由供方经办人签字和加盖供方的单位公章，与《履约验收书》共同作为验收合格、同意付款的依据。</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6.3货物保修期自履约验收合格之日起计算。</w:t>
      </w:r>
    </w:p>
    <w:p w14:paraId="767617EF">
      <w:pPr>
        <w:tabs>
          <w:tab w:val="left" w:pos="0"/>
        </w:tabs>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6.4供方在履约验收时，必须提供已办理海关免税手续的进口货物的海关免税证明</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lang w:val="en-US" w:eastAsia="zh-CN"/>
        </w:rPr>
        <w:t>如有</w:t>
      </w:r>
      <w:r>
        <w:rPr>
          <w:rFonts w:hint="eastAsia" w:ascii="仿宋_GB2312" w:hAnsi="仿宋_GB2312" w:eastAsia="仿宋_GB2312" w:cs="仿宋_GB2312"/>
          <w:color w:val="auto"/>
          <w:sz w:val="24"/>
          <w:highlight w:val="none"/>
          <w:lang w:eastAsia="zh-CN"/>
        </w:rPr>
        <w:t>）</w:t>
      </w:r>
      <w:r>
        <w:rPr>
          <w:rFonts w:hint="eastAsia" w:ascii="仿宋_GB2312" w:hAnsi="仿宋_GB2312" w:eastAsia="仿宋_GB2312" w:cs="仿宋_GB2312"/>
          <w:color w:val="auto"/>
          <w:sz w:val="24"/>
          <w:highlight w:val="none"/>
        </w:rPr>
        <w:t>。</w:t>
      </w:r>
    </w:p>
    <w:p w14:paraId="62F86B40">
      <w:pPr>
        <w:spacing w:line="360" w:lineRule="exact"/>
        <w:ind w:firstLine="489" w:firstLineChars="204"/>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7.知识产权及有关规定</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b/>
          <w:color w:val="auto"/>
          <w:sz w:val="24"/>
          <w:highlight w:val="none"/>
        </w:rPr>
        <w:t xml:space="preserve"> </w:t>
      </w:r>
      <w:r>
        <w:rPr>
          <w:rFonts w:hint="eastAsia" w:ascii="仿宋_GB2312" w:hAnsi="仿宋_GB2312" w:eastAsia="仿宋_GB2312" w:cs="仿宋_GB2312"/>
          <w:color w:val="auto"/>
          <w:sz w:val="24"/>
          <w:highlight w:val="none"/>
        </w:rPr>
        <w:t xml:space="preserve">   7.1供方应保证需方在使用本政府采购合同项下的货物或其任何一部分时免受第三方提出侵犯其专利权、商标权、工业设计权或其他知识产权的起诉。如果发生此类问题，供方负责交涉、处理并承担由此引起的全部法律及经济责任。</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b/>
          <w:color w:val="auto"/>
          <w:sz w:val="24"/>
          <w:highlight w:val="none"/>
        </w:rPr>
        <w:t xml:space="preserve">   </w:t>
      </w:r>
      <w:r>
        <w:rPr>
          <w:rFonts w:hint="eastAsia" w:ascii="仿宋_GB2312" w:hAnsi="仿宋_GB2312" w:eastAsia="仿宋_GB2312" w:cs="仿宋_GB2312"/>
          <w:color w:val="auto"/>
          <w:sz w:val="24"/>
          <w:highlight w:val="none"/>
        </w:rPr>
        <w:t xml:space="preserve"> 7.2供方应保证所供货物符合国家的有关规定。</w:t>
      </w:r>
    </w:p>
    <w:p w14:paraId="743A8667">
      <w:pPr>
        <w:tabs>
          <w:tab w:val="left" w:pos="360"/>
        </w:tabs>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14:paraId="4D27EE39">
      <w:pPr>
        <w:spacing w:line="360" w:lineRule="exact"/>
        <w:ind w:left="-2" w:leftChars="-1" w:firstLine="489" w:firstLineChars="204"/>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8.包装要求</w:t>
      </w:r>
    </w:p>
    <w:p w14:paraId="5A177D9B">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8.2每一个包装箱内应附一份详细的装箱单和质量合格证书。</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 xml:space="preserve">   9.伴随服务</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b/>
          <w:color w:val="auto"/>
          <w:sz w:val="24"/>
          <w:highlight w:val="none"/>
        </w:rPr>
        <w:t xml:space="preserve"> </w:t>
      </w:r>
      <w:r>
        <w:rPr>
          <w:rFonts w:hint="eastAsia" w:ascii="仿宋_GB2312" w:hAnsi="仿宋_GB2312" w:eastAsia="仿宋_GB2312" w:cs="仿宋_GB2312"/>
          <w:color w:val="auto"/>
          <w:sz w:val="24"/>
          <w:highlight w:val="none"/>
        </w:rPr>
        <w:t xml:space="preserve">   9.1供方应提供所交付货物的全套技术文件资料，包括货物目录、图纸、操作手册、使用说明、维护手册和服务指南等。</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9.2供方还应提供下列服务：</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9.2.1货物的现场安装、启动和试运行。</w:t>
      </w:r>
    </w:p>
    <w:p w14:paraId="4C3A9F7F">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9.2.2提供货物组装和维修所需的工具。</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9.2.3在质量保证期内对所交付货物提供运行监督、维修、保养等,如果投标文件没有特别要求，以供方在投标文件中提交的售后服务承诺书为准。如果上述文件规定有不一致之处，以对需方有利的为准。</w:t>
      </w:r>
    </w:p>
    <w:p w14:paraId="05D0EF26">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9.2.4在制造厂家或在项目现场就货物的安装、启动、运行、维护等对需方人员进行培训。</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9.3伴随服务的费用已包含在政府采购合同总金额中，不单独另行支付。</w:t>
      </w:r>
    </w:p>
    <w:p w14:paraId="7480C7B5">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10.质量保证期</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b/>
          <w:color w:val="auto"/>
          <w:sz w:val="24"/>
          <w:highlight w:val="none"/>
        </w:rPr>
        <w:t xml:space="preserve">  </w:t>
      </w:r>
      <w:r>
        <w:rPr>
          <w:rFonts w:hint="eastAsia" w:ascii="仿宋_GB2312" w:hAnsi="仿宋_GB2312" w:eastAsia="仿宋_GB2312" w:cs="仿宋_GB2312"/>
          <w:color w:val="auto"/>
          <w:sz w:val="24"/>
          <w:highlight w:val="none"/>
        </w:rPr>
        <w:t xml:space="preserve">  所供货物从履约验收合格之日起，供方所提供的整机及所有配套货物保证期</w:t>
      </w:r>
      <w:r>
        <w:rPr>
          <w:rFonts w:hint="eastAsia" w:ascii="仿宋_GB2312" w:hAnsi="仿宋_GB2312" w:eastAsia="仿宋_GB2312" w:cs="仿宋_GB2312"/>
          <w:color w:val="auto"/>
          <w:sz w:val="24"/>
          <w:highlight w:val="none"/>
          <w:u w:val="single"/>
        </w:rPr>
        <w:t xml:space="preserve"> </w:t>
      </w:r>
      <w:r>
        <w:rPr>
          <w:rFonts w:hint="eastAsia" w:ascii="仿宋_GB2312" w:hAnsi="仿宋_GB2312" w:eastAsia="仿宋_GB2312" w:cs="仿宋_GB2312"/>
          <w:color w:val="auto"/>
          <w:sz w:val="24"/>
          <w:highlight w:val="none"/>
        </w:rPr>
        <w:t>年。在质保期内属货物质量问题所发生的一切费用由供方负担（招标文件中有特殊要求的以招标文件为准）。</w:t>
      </w:r>
    </w:p>
    <w:p w14:paraId="0769A537">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11.质量保证</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b/>
          <w:color w:val="auto"/>
          <w:sz w:val="24"/>
          <w:highlight w:val="none"/>
        </w:rPr>
        <w:t xml:space="preserve">   </w:t>
      </w:r>
      <w:r>
        <w:rPr>
          <w:rFonts w:hint="eastAsia" w:ascii="仿宋_GB2312" w:hAnsi="仿宋_GB2312" w:eastAsia="仿宋_GB2312" w:cs="仿宋_GB2312"/>
          <w:color w:val="auto"/>
          <w:sz w:val="24"/>
          <w:highlight w:val="none"/>
        </w:rPr>
        <w:t xml:space="preserve"> 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10条规定的质量保证期内，供方应对其交付的货物由于设计、工艺或材料的缺陷而产生的故障负责。</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11.2在质量保证期内，如果货物的规格型号、配置、技术性能、原产地及制造厂商以及其它质量技术指标与政府采购合同约定不符，或证实货物是有缺陷的，包括潜在的缺陷或使用不符合要求的材料等，需方有权以书面形式向供方提出本保证下的索赔。</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11.3如果供方在接到需方通知后，在本政府采购合同约定的响应时间内没有弥补缺陷，需方可采取必要的补救措施，但其风险和费用将由供方负担，并且需方根据合同规定对供方行使的其它权利不受影响。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 xml:space="preserve"> 12.技术服务和保修责任</w:t>
      </w:r>
    </w:p>
    <w:p w14:paraId="64A90448">
      <w:pPr>
        <w:tabs>
          <w:tab w:val="left" w:pos="360"/>
        </w:tabs>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12.1供方对政府采购合同货物的质量保修期，以招标文件中的规定为准，如果投标文件中的承诺优于招标文件规定，则以投标文件为准。</w:t>
      </w:r>
    </w:p>
    <w:p w14:paraId="6B47B94E">
      <w:pPr>
        <w:tabs>
          <w:tab w:val="left" w:pos="360"/>
        </w:tabs>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12.2供方应按如下内容提供售后服务承诺书：</w:t>
      </w:r>
    </w:p>
    <w:p w14:paraId="2212185D">
      <w:pPr>
        <w:tabs>
          <w:tab w:val="left" w:pos="1060"/>
        </w:tabs>
        <w:snapToGrid w:val="0"/>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12.2.1货物经过试运行期，所有性能指标达到技术规范书的要求时，可按合同约定进行初验。在试运行期间，由于货物质量等造成某些指标达不到要求，供方须更换或进行修复，然后再行经过试运行期，直至验收合格。试运行期及质保期重新计算。</w:t>
      </w:r>
    </w:p>
    <w:p w14:paraId="1F103828">
      <w:pPr>
        <w:tabs>
          <w:tab w:val="left" w:pos="1060"/>
        </w:tabs>
        <w:snapToGrid w:val="0"/>
        <w:spacing w:line="360" w:lineRule="exact"/>
        <w:ind w:firstLine="489" w:firstLineChars="204"/>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12.2.2初验后，货物再次经过试运行期，所有性能指标达到技术规范书的要求时，可按合同约定进行下一步验收工作，进行终验。</w:t>
      </w:r>
    </w:p>
    <w:p w14:paraId="3A4288BB">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12.2.3保修期间供方要保修除消耗品以外的所有货物。如果系统、货物等发生故障，供方要调查故障原因并修复直至满足最终验收指标和性能的要求，或者修理、更换整个或部分有缺陷的材料。</w:t>
      </w:r>
    </w:p>
    <w:p w14:paraId="46D00DE2">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12.2.4保修期内，供方提供电话、电子邮件、Web、现场服务等方式的技术支持，对使用单位的现场服务要求，供方必须按投标文件做出的承诺进行响应。</w:t>
      </w:r>
    </w:p>
    <w:p w14:paraId="7B9A5B0D">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12.2.5保修期内，供方应对出现故障无法修复的货物或无法正常运行的系统，提供替代货物以保证系统的正常工作。</w:t>
      </w:r>
    </w:p>
    <w:p w14:paraId="5409DB48">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12.2.6保修期内，供方应对投标时的承诺提供相关服务。</w:t>
      </w:r>
    </w:p>
    <w:p w14:paraId="08D08586">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14:paraId="43025153">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12.2.8在保修期结束后，货物寿命期内，供方必须继续提供货物备件、故障处理、软件升级等服务，不得以任何借口拖延或中断对货物的售后服务，应说明服务的响应时间、取费标准。</w:t>
      </w:r>
    </w:p>
    <w:p w14:paraId="0CD50952">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12.2.9供方不能满足以上要求，需方有权向供方提出索赔。</w:t>
      </w:r>
    </w:p>
    <w:p w14:paraId="7CB0A057">
      <w:pPr>
        <w:tabs>
          <w:tab w:val="left" w:pos="360"/>
        </w:tabs>
        <w:spacing w:line="360" w:lineRule="exact"/>
        <w:ind w:firstLine="489" w:firstLineChars="204"/>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13.违约责任</w:t>
      </w:r>
    </w:p>
    <w:p w14:paraId="732CFE03">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如果供方未按照政府采购合同规定的要求交付政府采购合同货物和提供服务；或供方在收到需方要求更换有缺陷的货物或部件的通知后10日历天内或在供方签署货损证明后10日历天内没有补足或更换货物、或交货仍不符合要求；或将本合同部分转包或分包；或供方未能履行政府采购合同规定的任何其它义务时，需方有权向供方发出违约通知书，供方应按照需方选择的下列一种或多种方式承担赔偿责任：</w:t>
      </w:r>
    </w:p>
    <w:p w14:paraId="62C03DFF">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13.1.1在需方同意延长的期限内交付全部货物、提供服务并承担由此给需方造成的一切损失。</w:t>
      </w:r>
    </w:p>
    <w:p w14:paraId="12E19735">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14:paraId="131E8339">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13.1.3根据货物低劣程度、损坏程度以及使需方所遭受的损失，经双方商定降低货物的价格或赔偿需方所遭受的损失。</w:t>
      </w:r>
    </w:p>
    <w:p w14:paraId="0A7F7FD4">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13.1.4供方同意退货，并按政府采购合同规定的同种货币将需方所退货物的全部货款退还给需方，并承担由此发生的一切损失和费用，包括利息、银行手续费、运费、保险费、检验费、仓储费、装卸费以及需方为保护货物所支出的其它必要费用。</w:t>
      </w:r>
    </w:p>
    <w:p w14:paraId="638A251E">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13.1.5需方有权部分或全部解除政府采购合同并要求供方赔偿由此造成的损失。此时需方可采取必要的补救措施，相关费用由供方承担。</w:t>
      </w:r>
    </w:p>
    <w:p w14:paraId="63EE8450">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13.2如果供方在收到需方的违约通知书后10日历天内未作答复也没有按照需方选择的方式承担违约责任，则需方有权从尚未支付的政府采购合同货款中扣回索赔金额。如果这些金额不足以补偿，需方有权向供方提出不足部分的赔偿要求。</w:t>
      </w:r>
    </w:p>
    <w:p w14:paraId="6BE9A1B8">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13.3延期交货的违约责任</w:t>
      </w:r>
    </w:p>
    <w:p w14:paraId="794607BF">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13.3.1供方未按政府采购合同规定的交货日期向需方交货时，则每逾期1日历天，供方应按政府采购合同总金额的0.5‰计算，向需方支付逾期交货违约金，但不超过政府采购合同总金额的1%。供方支付逾期交货违约金并不免除供方交货的责任。</w:t>
      </w:r>
    </w:p>
    <w:p w14:paraId="79404AD4">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13.3.2如供方在政府采购合同规定的交货日期后20日历天内仍未能交货，则视为供方不能交货，需方有权不经催告地全部或部分解除政府采购合同，供方还应向需方偿付政府采购合同总金额1%的违约金。在本条所述情况下，供方同意需方扣收履约保证金用于支付违约金。</w:t>
      </w:r>
    </w:p>
    <w:p w14:paraId="5DDE177C">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13.4以上各项交付的违约金并不影响违约方履行政府采购合同的各项义务。</w:t>
      </w:r>
    </w:p>
    <w:p w14:paraId="736377EE">
      <w:pPr>
        <w:spacing w:line="360" w:lineRule="exact"/>
        <w:ind w:firstLine="487" w:firstLineChars="203"/>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14.不可抗力</w:t>
      </w:r>
    </w:p>
    <w:p w14:paraId="20C548BE">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14.2本条所述的“不可抗力”系指那些双方无法控制，不可预见的事件，但不包括双方的违约或疏忽。这些事件包括但不限于：战争、严重火灾、洪水、台风、地震以及其它双方商定的事件。</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 xml:space="preserve"> 15.争端的解决</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color w:val="auto"/>
          <w:sz w:val="24"/>
          <w:highlight w:val="none"/>
        </w:rPr>
        <w:t xml:space="preserve">    15.1需方和供方应通过友好协商，解决在执行本政府采购合同过程中所发生的或与本政府采购合同有关的一切争端。如从协商开始10日历天内仍不能解决，可向有关政府采购合同管理部门提请调解。</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15.2如果调解不成，双方中的任何一方可向政府采购合同签订地的人民法院提起诉讼。</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15.3因政府采购合同部分履行引发诉讼的，在诉讼期间，除正在进行诉讼的部分外，本政府采购合同的其它部分应继续执行。</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 xml:space="preserve"> 16.违约终止政府采购合同</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color w:val="auto"/>
          <w:sz w:val="24"/>
          <w:highlight w:val="none"/>
        </w:rPr>
        <w:t xml:space="preserve">    16.1在需方因供方违约而按政府采购合同约定采取的任何补救措施不起作用的情况下，需方可在下列情况下向供方发出书面通知，提出终止全部或部分政府采购合同。</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16.1.1如果供方未能在政府采购合同规定的限期或需方同意延长的限期内提供部分或全部货物和服务。</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16.1.2如果供方未能履行政府采购合同规定的其它任何义务。</w:t>
      </w:r>
    </w:p>
    <w:p w14:paraId="3FE79D1A">
      <w:pPr>
        <w:spacing w:line="360" w:lineRule="exact"/>
        <w:ind w:firstLine="489" w:firstLineChars="204"/>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16.2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16.3如果需方违约，应承担相应的违约责任。</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17.政府采购法对政府采购合同变更终止的规定</w:t>
      </w:r>
    </w:p>
    <w:p w14:paraId="4FCB441A">
      <w:pPr>
        <w:spacing w:line="360" w:lineRule="exact"/>
        <w:ind w:firstLine="489" w:firstLineChars="204"/>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color w:val="auto"/>
          <w:sz w:val="24"/>
          <w:highlight w:val="none"/>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b/>
          <w:color w:val="auto"/>
          <w:sz w:val="24"/>
          <w:highlight w:val="none"/>
        </w:rPr>
        <w:t xml:space="preserve">    18.政府采购合同转让和分包</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b/>
          <w:color w:val="auto"/>
          <w:sz w:val="24"/>
          <w:highlight w:val="none"/>
        </w:rPr>
        <w:t xml:space="preserve">    </w:t>
      </w:r>
      <w:r>
        <w:rPr>
          <w:rFonts w:hint="eastAsia" w:ascii="仿宋_GB2312" w:hAnsi="仿宋_GB2312" w:eastAsia="仿宋_GB2312" w:cs="仿宋_GB2312"/>
          <w:color w:val="auto"/>
          <w:sz w:val="24"/>
          <w:highlight w:val="none"/>
        </w:rPr>
        <w:t>除投标文件规定,并经需方事先书面同意外，供方不得部分转让和分包或全部转让和分包其应履行的政府采购合同义务。</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 xml:space="preserve"> 19.适用法律</w:t>
      </w:r>
    </w:p>
    <w:p w14:paraId="3A012EBB">
      <w:pPr>
        <w:spacing w:line="360" w:lineRule="exact"/>
        <w:ind w:firstLine="489" w:firstLineChars="204"/>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本政府采购合同适用于《中华人民共和国民法典》。</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w:t>
      </w:r>
      <w:r>
        <w:rPr>
          <w:rFonts w:hint="eastAsia" w:ascii="仿宋_GB2312" w:hAnsi="仿宋_GB2312" w:eastAsia="仿宋_GB2312" w:cs="仿宋_GB2312"/>
          <w:b/>
          <w:color w:val="auto"/>
          <w:sz w:val="24"/>
          <w:highlight w:val="none"/>
        </w:rPr>
        <w:t>20.政府采购合同生效</w:t>
      </w:r>
      <w:r>
        <w:rPr>
          <w:rFonts w:hint="eastAsia" w:ascii="仿宋_GB2312" w:hAnsi="仿宋_GB2312" w:eastAsia="仿宋_GB2312" w:cs="仿宋_GB2312"/>
          <w:b/>
          <w:color w:val="auto"/>
          <w:sz w:val="24"/>
          <w:highlight w:val="none"/>
        </w:rPr>
        <w:cr/>
      </w:r>
      <w:r>
        <w:rPr>
          <w:rFonts w:hint="eastAsia" w:ascii="仿宋_GB2312" w:hAnsi="仿宋_GB2312" w:eastAsia="仿宋_GB2312" w:cs="仿宋_GB2312"/>
          <w:color w:val="auto"/>
          <w:sz w:val="24"/>
          <w:highlight w:val="none"/>
        </w:rPr>
        <w:t xml:space="preserve">    20.1本政府采购合同在需方、供方</w:t>
      </w:r>
      <w:r>
        <w:rPr>
          <w:rFonts w:hint="eastAsia" w:ascii="仿宋_GB2312" w:hAnsi="仿宋_GB2312" w:eastAsia="仿宋_GB2312" w:cs="仿宋_GB2312"/>
          <w:color w:val="auto"/>
          <w:sz w:val="24"/>
          <w:highlight w:val="none"/>
          <w:lang w:val="en-US" w:eastAsia="zh-CN"/>
        </w:rPr>
        <w:t>双方</w:t>
      </w:r>
      <w:r>
        <w:rPr>
          <w:rFonts w:hint="eastAsia" w:ascii="仿宋_GB2312" w:hAnsi="仿宋_GB2312" w:eastAsia="仿宋_GB2312" w:cs="仿宋_GB2312"/>
          <w:color w:val="auto"/>
          <w:sz w:val="24"/>
          <w:highlight w:val="none"/>
        </w:rPr>
        <w:t>法定代表人盖章或签字及供方授权代理人签字</w:t>
      </w:r>
      <w:r>
        <w:rPr>
          <w:rFonts w:hint="eastAsia" w:ascii="仿宋_GB2312" w:hAnsi="仿宋_GB2312" w:eastAsia="仿宋_GB2312" w:cs="仿宋_GB2312"/>
          <w:color w:val="auto"/>
          <w:sz w:val="24"/>
          <w:highlight w:val="none"/>
          <w:lang w:val="en-US" w:eastAsia="zh-CN"/>
        </w:rPr>
        <w:t>并</w:t>
      </w:r>
      <w:r>
        <w:rPr>
          <w:rFonts w:hint="eastAsia" w:ascii="仿宋_GB2312" w:hAnsi="仿宋_GB2312" w:eastAsia="仿宋_GB2312" w:cs="仿宋_GB2312"/>
          <w:color w:val="auto"/>
          <w:sz w:val="24"/>
          <w:highlight w:val="none"/>
        </w:rPr>
        <w:t>加盖公章</w:t>
      </w:r>
      <w:r>
        <w:rPr>
          <w:rFonts w:hint="eastAsia" w:ascii="仿宋_GB2312" w:hAnsi="仿宋_GB2312" w:eastAsia="仿宋_GB2312" w:cs="仿宋_GB2312"/>
          <w:color w:val="auto"/>
          <w:sz w:val="24"/>
          <w:highlight w:val="none"/>
          <w:lang w:val="en-US" w:eastAsia="zh-CN"/>
        </w:rPr>
        <w:t>或合同专用章</w:t>
      </w:r>
      <w:r>
        <w:rPr>
          <w:rFonts w:hint="eastAsia" w:ascii="仿宋_GB2312" w:hAnsi="仿宋_GB2312" w:eastAsia="仿宋_GB2312" w:cs="仿宋_GB2312"/>
          <w:color w:val="auto"/>
          <w:sz w:val="24"/>
          <w:highlight w:val="none"/>
        </w:rPr>
        <w:t>后生效。</w:t>
      </w:r>
      <w:r>
        <w:rPr>
          <w:rFonts w:hint="eastAsia" w:ascii="仿宋_GB2312" w:hAnsi="仿宋_GB2312" w:eastAsia="仿宋_GB2312" w:cs="仿宋_GB2312"/>
          <w:color w:val="auto"/>
          <w:sz w:val="24"/>
          <w:highlight w:val="none"/>
        </w:rPr>
        <w:cr/>
      </w:r>
      <w:r>
        <w:rPr>
          <w:rFonts w:hint="eastAsia" w:ascii="仿宋_GB2312" w:hAnsi="仿宋_GB2312" w:eastAsia="仿宋_GB2312" w:cs="仿宋_GB2312"/>
          <w:color w:val="auto"/>
          <w:sz w:val="24"/>
          <w:highlight w:val="none"/>
        </w:rPr>
        <w:t xml:space="preserve">    20.2本政府采购合同一式</w:t>
      </w:r>
      <w:r>
        <w:rPr>
          <w:rFonts w:hint="eastAsia" w:ascii="仿宋_GB2312" w:hAnsi="仿宋_GB2312" w:eastAsia="仿宋_GB2312" w:cs="仿宋_GB2312"/>
          <w:color w:val="auto"/>
          <w:sz w:val="24"/>
          <w:highlight w:val="none"/>
          <w:lang w:val="en-US" w:eastAsia="zh-CN"/>
        </w:rPr>
        <w:t>八</w:t>
      </w:r>
      <w:r>
        <w:rPr>
          <w:rFonts w:hint="eastAsia" w:ascii="仿宋_GB2312" w:hAnsi="仿宋_GB2312" w:eastAsia="仿宋_GB2312" w:cs="仿宋_GB2312"/>
          <w:color w:val="auto"/>
          <w:sz w:val="24"/>
          <w:highlight w:val="none"/>
        </w:rPr>
        <w:t>份，需方执</w:t>
      </w:r>
      <w:r>
        <w:rPr>
          <w:rFonts w:hint="eastAsia" w:ascii="仿宋_GB2312" w:hAnsi="仿宋_GB2312" w:eastAsia="仿宋_GB2312" w:cs="仿宋_GB2312"/>
          <w:color w:val="auto"/>
          <w:sz w:val="24"/>
          <w:highlight w:val="none"/>
          <w:lang w:val="en-US" w:eastAsia="zh-CN"/>
        </w:rPr>
        <w:t>六</w:t>
      </w:r>
      <w:r>
        <w:rPr>
          <w:rFonts w:hint="eastAsia" w:ascii="仿宋_GB2312" w:hAnsi="仿宋_GB2312" w:eastAsia="仿宋_GB2312" w:cs="仿宋_GB2312"/>
          <w:color w:val="auto"/>
          <w:sz w:val="24"/>
          <w:highlight w:val="none"/>
        </w:rPr>
        <w:t>份，供方、采购代理机构各执一份。</w:t>
      </w:r>
    </w:p>
    <w:p w14:paraId="6E67B80F">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20.3本合同共计</w:t>
      </w:r>
      <w:r>
        <w:rPr>
          <w:rFonts w:hint="eastAsia" w:ascii="仿宋_GB2312" w:hAnsi="仿宋_GB2312" w:eastAsia="仿宋_GB2312" w:cs="仿宋_GB2312"/>
          <w:color w:val="auto"/>
          <w:sz w:val="24"/>
          <w:highlight w:val="none"/>
          <w:u w:val="single"/>
          <w:lang w:val="en-US" w:eastAsia="zh-CN"/>
        </w:rPr>
        <w:t xml:space="preserve">  </w:t>
      </w:r>
      <w:r>
        <w:rPr>
          <w:rFonts w:hint="eastAsia" w:ascii="仿宋_GB2312" w:hAnsi="仿宋_GB2312" w:eastAsia="仿宋_GB2312" w:cs="仿宋_GB2312"/>
          <w:color w:val="auto"/>
          <w:sz w:val="24"/>
          <w:highlight w:val="none"/>
        </w:rPr>
        <w:t>页。</w:t>
      </w:r>
    </w:p>
    <w:p w14:paraId="2F27E75F">
      <w:pPr>
        <w:spacing w:line="360" w:lineRule="exact"/>
        <w:ind w:firstLine="489" w:firstLineChars="204"/>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21.通知</w:t>
      </w:r>
    </w:p>
    <w:p w14:paraId="4A9C7A74">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21.1任何与本合同有关的由本合同双方当事人发出的任何文件、通知及其他通讯往来，必须采取中文书面形式，并送达至本合同</w:t>
      </w:r>
      <w:r>
        <w:rPr>
          <w:rFonts w:hint="eastAsia" w:ascii="仿宋_GB2312" w:hAnsi="仿宋_GB2312" w:eastAsia="仿宋_GB2312" w:cs="仿宋_GB2312"/>
          <w:color w:val="auto"/>
          <w:sz w:val="24"/>
          <w:highlight w:val="none"/>
          <w:lang w:val="en-US" w:eastAsia="zh-CN"/>
        </w:rPr>
        <w:t>末尾处</w:t>
      </w:r>
      <w:r>
        <w:rPr>
          <w:rFonts w:hint="eastAsia" w:ascii="仿宋_GB2312" w:hAnsi="仿宋_GB2312" w:eastAsia="仿宋_GB2312" w:cs="仿宋_GB2312"/>
          <w:color w:val="auto"/>
          <w:sz w:val="24"/>
          <w:highlight w:val="none"/>
        </w:rPr>
        <w:t>留存的地址或双方书面通知的其他地址。本合同留存需方和供方的地址、电话、传真、电邮等为双方确定的、有法律效力的地址、电话、传真、电邮等联系方式。一方若指定其他联系方式或联系方式变更的，须及时以书面形式通知另一方。怠于通知的一方应当承担对其不利的法律后果。</w:t>
      </w:r>
    </w:p>
    <w:p w14:paraId="2B9DBA7D">
      <w:pPr>
        <w:spacing w:line="360" w:lineRule="exact"/>
        <w:ind w:firstLine="489" w:firstLineChars="204"/>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21.2任何文件、通知或其他通讯往来，如以邮寄方式，在寄出后第7个工作日将被视作已送达，邮政局或快递公司的邮件发送记录将作为有效证明；如以传真方式，则发出之日视作已送达，已发送报告单将作为有效证明；如以手递的方式，则发至指定地址之日视作已送达，以对方的签收文据为有效证明；如以电子邮件形式发送，则数据电文以联系人发出的首次时间，视为到达时间，一方以电子邮件形式发出后应立即电话通知对方联系人查收。</w:t>
      </w:r>
    </w:p>
    <w:p w14:paraId="301EE816">
      <w:pPr>
        <w:spacing w:line="360" w:lineRule="exact"/>
        <w:jc w:val="left"/>
        <w:rPr>
          <w:rFonts w:hint="eastAsia" w:ascii="仿宋_GB2312" w:hAnsi="仿宋_GB2312" w:eastAsia="仿宋_GB2312" w:cs="仿宋_GB2312"/>
          <w:color w:val="auto"/>
          <w:sz w:val="24"/>
          <w:highlight w:val="none"/>
        </w:rPr>
      </w:pPr>
    </w:p>
    <w:p w14:paraId="014B5B5D">
      <w:pPr>
        <w:jc w:val="left"/>
        <w:rPr>
          <w:rFonts w:hint="eastAsia" w:ascii="仿宋_GB2312" w:hAnsi="仿宋_GB2312" w:eastAsia="仿宋_GB2312" w:cs="仿宋_GB2312"/>
          <w:color w:val="auto"/>
          <w:sz w:val="24"/>
          <w:highlight w:val="none"/>
        </w:rPr>
      </w:pPr>
    </w:p>
    <w:p w14:paraId="4C387599">
      <w:pPr>
        <w:jc w:val="left"/>
        <w:rPr>
          <w:rFonts w:hint="eastAsia" w:ascii="仿宋_GB2312" w:hAnsi="仿宋_GB2312" w:eastAsia="仿宋_GB2312" w:cs="仿宋_GB2312"/>
          <w:color w:val="auto"/>
          <w:sz w:val="24"/>
          <w:highlight w:val="none"/>
        </w:rPr>
      </w:pPr>
    </w:p>
    <w:p w14:paraId="017CBD51">
      <w:pPr>
        <w:spacing w:line="360" w:lineRule="exact"/>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签约方：</w:t>
      </w:r>
    </w:p>
    <w:p w14:paraId="1DD0C258">
      <w:pP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62336" behindDoc="0" locked="0" layoutInCell="1" allowOverlap="1">
                <wp:simplePos x="0" y="0"/>
                <wp:positionH relativeFrom="column">
                  <wp:posOffset>2971165</wp:posOffset>
                </wp:positionH>
                <wp:positionV relativeFrom="paragraph">
                  <wp:posOffset>154940</wp:posOffset>
                </wp:positionV>
                <wp:extent cx="3180715" cy="33642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3180715" cy="3364230"/>
                        </a:xfrm>
                        <a:prstGeom prst="rect">
                          <a:avLst/>
                        </a:prstGeom>
                        <a:noFill/>
                        <a:ln>
                          <a:noFill/>
                        </a:ln>
                        <a:effectLst/>
                      </wps:spPr>
                      <wps:txbx>
                        <w:txbxContent>
                          <w:p w14:paraId="77D2D2F9">
                            <w:pPr>
                              <w:ind w:left="5400" w:hanging="5400" w:hangingChars="2250"/>
                              <w:jc w:val="left"/>
                              <w:rPr>
                                <w:rFonts w:hint="eastAsia"/>
                                <w:sz w:val="24"/>
                              </w:rPr>
                            </w:pPr>
                          </w:p>
                          <w:p w14:paraId="5E1AC0E2">
                            <w:pPr>
                              <w:adjustRightInd w:val="0"/>
                              <w:snapToGrid w:val="0"/>
                              <w:rPr>
                                <w:rFonts w:hint="default" w:ascii="Times New Roman" w:hAnsi="Times New Roman" w:cs="Times New Roman"/>
                                <w:sz w:val="24"/>
                              </w:rPr>
                            </w:pPr>
                            <w:r>
                              <w:rPr>
                                <w:rFonts w:hint="default" w:ascii="Times New Roman" w:hAnsi="Times New Roman" w:cs="Times New Roman"/>
                                <w:sz w:val="24"/>
                              </w:rPr>
                              <w:t>供方（公章）：</w:t>
                            </w:r>
                            <w:r>
                              <w:rPr>
                                <w:rFonts w:hint="default" w:ascii="Times New Roman" w:hAnsi="Times New Roman" w:cs="Times New Roman"/>
                                <w:bCs/>
                                <w:sz w:val="24"/>
                                <w:u w:val="single"/>
                              </w:rPr>
                              <w:t xml:space="preserve">  </w:t>
                            </w:r>
                          </w:p>
                          <w:p w14:paraId="1DEC5878">
                            <w:pPr>
                              <w:adjustRightInd w:val="0"/>
                              <w:snapToGrid w:val="0"/>
                              <w:rPr>
                                <w:rFonts w:hint="default" w:ascii="Times New Roman" w:hAnsi="Times New Roman" w:cs="Times New Roman"/>
                                <w:sz w:val="24"/>
                              </w:rPr>
                            </w:pPr>
                          </w:p>
                          <w:p w14:paraId="4C0A331C">
                            <w:pPr>
                              <w:adjustRightInd w:val="0"/>
                              <w:snapToGrid w:val="0"/>
                              <w:rPr>
                                <w:rFonts w:hint="default" w:ascii="Times New Roman" w:hAnsi="Times New Roman" w:cs="Times New Roman"/>
                                <w:sz w:val="24"/>
                              </w:rPr>
                            </w:pPr>
                          </w:p>
                          <w:p w14:paraId="64F9C23D">
                            <w:pPr>
                              <w:adjustRightInd w:val="0"/>
                              <w:snapToGrid w:val="0"/>
                              <w:rPr>
                                <w:rFonts w:hint="default" w:ascii="Times New Roman" w:hAnsi="Times New Roman" w:cs="Times New Roman"/>
                                <w:sz w:val="24"/>
                                <w:u w:val="single"/>
                              </w:rPr>
                            </w:pPr>
                            <w:r>
                              <w:rPr>
                                <w:rFonts w:hint="default" w:ascii="Times New Roman" w:hAnsi="Times New Roman" w:cs="Times New Roman"/>
                                <w:sz w:val="24"/>
                              </w:rPr>
                              <w:t>法定代表人（签章）或授权代表（签字）：</w:t>
                            </w:r>
                          </w:p>
                          <w:p w14:paraId="4408B009">
                            <w:pPr>
                              <w:adjustRightInd w:val="0"/>
                              <w:snapToGrid w:val="0"/>
                              <w:rPr>
                                <w:rFonts w:hint="default" w:ascii="Times New Roman" w:hAnsi="Times New Roman" w:cs="Times New Roman"/>
                                <w:sz w:val="24"/>
                                <w:u w:val="single"/>
                              </w:rPr>
                            </w:pPr>
                          </w:p>
                          <w:p w14:paraId="2CE1FD02">
                            <w:pPr>
                              <w:adjustRightInd w:val="0"/>
                              <w:snapToGrid w:val="0"/>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14:paraId="662EF2AA">
                            <w:pPr>
                              <w:adjustRightInd w:val="0"/>
                              <w:snapToGrid w:val="0"/>
                              <w:rPr>
                                <w:rFonts w:hint="default" w:ascii="Times New Roman" w:hAnsi="Times New Roman" w:cs="Times New Roman"/>
                                <w:sz w:val="24"/>
                              </w:rPr>
                            </w:pPr>
                          </w:p>
                          <w:p w14:paraId="7A16D93E">
                            <w:pPr>
                              <w:adjustRightInd w:val="0"/>
                              <w:snapToGrid w:val="0"/>
                              <w:rPr>
                                <w:rFonts w:hint="default" w:ascii="Times New Roman" w:hAnsi="Times New Roman" w:cs="Times New Roman"/>
                                <w:bCs/>
                                <w:sz w:val="24"/>
                                <w:u w:val="single"/>
                              </w:rPr>
                            </w:pPr>
                            <w:r>
                              <w:rPr>
                                <w:rFonts w:hint="default" w:ascii="Times New Roman" w:hAnsi="Times New Roman" w:cs="Times New Roman"/>
                                <w:sz w:val="24"/>
                              </w:rPr>
                              <w:t>地址：</w:t>
                            </w:r>
                            <w:r>
                              <w:rPr>
                                <w:rFonts w:hint="default" w:ascii="Times New Roman" w:hAnsi="Times New Roman" w:cs="Times New Roman"/>
                                <w:bCs/>
                                <w:sz w:val="24"/>
                                <w:u w:val="single"/>
                              </w:rPr>
                              <w:t xml:space="preserve">                                </w:t>
                            </w:r>
                          </w:p>
                          <w:p w14:paraId="5D4F63F5">
                            <w:pPr>
                              <w:adjustRightInd w:val="0"/>
                              <w:snapToGrid w:val="0"/>
                              <w:rPr>
                                <w:rFonts w:hint="default" w:ascii="Times New Roman" w:hAnsi="Times New Roman" w:cs="Times New Roman"/>
                                <w:sz w:val="24"/>
                              </w:rPr>
                            </w:pPr>
                            <w:r>
                              <w:rPr>
                                <w:rFonts w:hint="default" w:ascii="Times New Roman" w:hAnsi="Times New Roman" w:cs="Times New Roman"/>
                                <w:sz w:val="24"/>
                              </w:rPr>
                              <w:t xml:space="preserve"> </w:t>
                            </w:r>
                          </w:p>
                          <w:p w14:paraId="21266F29">
                            <w:pPr>
                              <w:adjustRightInd w:val="0"/>
                              <w:snapToGrid w:val="0"/>
                              <w:rPr>
                                <w:rFonts w:hint="default" w:ascii="Times New Roman" w:hAnsi="Times New Roman" w:cs="Times New Roman"/>
                                <w:b w:val="0"/>
                                <w:bCs w:val="0"/>
                                <w:sz w:val="24"/>
                                <w:u w:val="single"/>
                              </w:rPr>
                            </w:pPr>
                            <w:r>
                              <w:rPr>
                                <w:rFonts w:hint="default" w:ascii="Times New Roman" w:hAnsi="Times New Roman" w:cs="Times New Roman"/>
                                <w:sz w:val="24"/>
                              </w:rPr>
                              <w:t>联系人：</w:t>
                            </w:r>
                            <w:r>
                              <w:rPr>
                                <w:rFonts w:hint="default" w:ascii="Times New Roman" w:hAnsi="Times New Roman" w:cs="Times New Roman"/>
                                <w:b w:val="0"/>
                                <w:bCs w:val="0"/>
                                <w:sz w:val="24"/>
                                <w:u w:val="single"/>
                              </w:rPr>
                              <w:t xml:space="preserve">                              </w:t>
                            </w:r>
                          </w:p>
                          <w:p w14:paraId="5D9ED9BD">
                            <w:pPr>
                              <w:adjustRightInd w:val="0"/>
                              <w:snapToGrid w:val="0"/>
                              <w:rPr>
                                <w:rFonts w:hint="default" w:ascii="Times New Roman" w:hAnsi="Times New Roman" w:cs="Times New Roman"/>
                                <w:b w:val="0"/>
                                <w:bCs w:val="0"/>
                                <w:sz w:val="24"/>
                              </w:rPr>
                            </w:pPr>
                          </w:p>
                          <w:p w14:paraId="235596E6">
                            <w:pPr>
                              <w:adjustRightInd w:val="0"/>
                              <w:snapToGrid w:val="0"/>
                              <w:rPr>
                                <w:rFonts w:hint="default" w:ascii="Times New Roman" w:hAnsi="Times New Roman" w:cs="Times New Roman"/>
                                <w:b w:val="0"/>
                                <w:bCs w:val="0"/>
                                <w:sz w:val="24"/>
                                <w:u w:val="single"/>
                              </w:rPr>
                            </w:pPr>
                            <w:r>
                              <w:rPr>
                                <w:rFonts w:hint="default" w:ascii="Times New Roman" w:hAnsi="Times New Roman" w:cs="Times New Roman"/>
                                <w:b w:val="0"/>
                                <w:bCs w:val="0"/>
                                <w:sz w:val="24"/>
                              </w:rPr>
                              <w:t>电话：</w:t>
                            </w:r>
                            <w:r>
                              <w:rPr>
                                <w:rFonts w:hint="default" w:ascii="Times New Roman" w:hAnsi="Times New Roman" w:cs="Times New Roman"/>
                                <w:b w:val="0"/>
                                <w:bCs w:val="0"/>
                                <w:sz w:val="24"/>
                                <w:u w:val="single"/>
                              </w:rPr>
                              <w:t xml:space="preserve">                                </w:t>
                            </w:r>
                          </w:p>
                          <w:p w14:paraId="0ECF4E68">
                            <w:pPr>
                              <w:adjustRightInd w:val="0"/>
                              <w:snapToGrid w:val="0"/>
                              <w:rPr>
                                <w:rFonts w:hint="default" w:ascii="Times New Roman" w:hAnsi="Times New Roman" w:cs="Times New Roman"/>
                                <w:bCs/>
                                <w:sz w:val="24"/>
                                <w:u w:val="single"/>
                              </w:rPr>
                            </w:pPr>
                          </w:p>
                          <w:p w14:paraId="79D38B1F">
                            <w:pPr>
                              <w:adjustRightInd w:val="0"/>
                              <w:snapToGrid w:val="0"/>
                              <w:rPr>
                                <w:rFonts w:hint="default" w:ascii="Times New Roman" w:hAnsi="Times New Roman" w:cs="Times New Roman"/>
                                <w:bCs/>
                                <w:sz w:val="24"/>
                                <w:u w:val="single"/>
                              </w:rPr>
                            </w:pPr>
                            <w:r>
                              <w:rPr>
                                <w:rFonts w:hint="default" w:ascii="Times New Roman" w:hAnsi="Times New Roman" w:cs="Times New Roman"/>
                                <w:bCs/>
                                <w:sz w:val="24"/>
                              </w:rPr>
                              <w:t>开户行：</w:t>
                            </w:r>
                            <w:r>
                              <w:rPr>
                                <w:rFonts w:hint="default" w:ascii="Times New Roman" w:hAnsi="Times New Roman" w:cs="Times New Roman"/>
                                <w:bCs/>
                                <w:sz w:val="24"/>
                                <w:u w:val="single"/>
                              </w:rPr>
                              <w:t xml:space="preserve">                              </w:t>
                            </w:r>
                          </w:p>
                          <w:p w14:paraId="053BFD0E">
                            <w:pPr>
                              <w:adjustRightInd w:val="0"/>
                              <w:snapToGrid w:val="0"/>
                              <w:rPr>
                                <w:rFonts w:hint="default" w:ascii="Times New Roman" w:hAnsi="Times New Roman" w:cs="Times New Roman"/>
                                <w:bCs/>
                                <w:sz w:val="24"/>
                                <w:u w:val="single"/>
                              </w:rPr>
                            </w:pPr>
                          </w:p>
                          <w:p w14:paraId="66C8A244">
                            <w:pPr>
                              <w:adjustRightInd w:val="0"/>
                              <w:snapToGrid w:val="0"/>
                              <w:rPr>
                                <w:rFonts w:hint="default" w:ascii="Times New Roman" w:hAnsi="Times New Roman" w:cs="Times New Roman"/>
                                <w:sz w:val="24"/>
                              </w:rPr>
                            </w:pPr>
                            <w:r>
                              <w:rPr>
                                <w:rFonts w:hint="default" w:ascii="Times New Roman" w:hAnsi="Times New Roman" w:cs="Times New Roman"/>
                                <w:bCs/>
                                <w:sz w:val="24"/>
                              </w:rPr>
                              <w:t>账号：</w:t>
                            </w:r>
                            <w:r>
                              <w:rPr>
                                <w:rFonts w:hint="default" w:ascii="Times New Roman" w:hAnsi="Times New Roman" w:cs="Times New Roman"/>
                                <w:bCs/>
                                <w:sz w:val="24"/>
                                <w:u w:val="single"/>
                              </w:rPr>
                              <w:t xml:space="preserve">                 </w:t>
                            </w:r>
                            <w:r>
                              <w:rPr>
                                <w:rFonts w:hint="default" w:ascii="Times New Roman" w:hAnsi="Times New Roman" w:cs="Times New Roman"/>
                                <w:sz w:val="24"/>
                                <w:u w:val="single"/>
                              </w:rPr>
                              <w:t xml:space="preserve">               </w:t>
                            </w:r>
                          </w:p>
                          <w:p w14:paraId="7581C127">
                            <w:pPr>
                              <w:ind w:left="5400" w:hanging="5400" w:hangingChars="2250"/>
                              <w:jc w:val="left"/>
                              <w:rPr>
                                <w:sz w:val="24"/>
                              </w:rPr>
                            </w:pPr>
                          </w:p>
                        </w:txbxContent>
                      </wps:txbx>
                      <wps:bodyPr upright="1"/>
                    </wps:wsp>
                  </a:graphicData>
                </a:graphic>
              </wp:anchor>
            </w:drawing>
          </mc:Choice>
          <mc:Fallback>
            <w:pict>
              <v:shape id="_x0000_s1026" o:spid="_x0000_s1026" o:spt="202" type="#_x0000_t202" style="position:absolute;left:0pt;margin-left:233.95pt;margin-top:12.2pt;height:264.9pt;width:250.45pt;z-index:251662336;mso-width-relative:page;mso-height-relative:page;" filled="f" stroked="f" coordsize="21600,21600" o:gfxdata="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XPFwDYAAAACgEAAA8AAAAAAAAAAQAgAAAAIgAAAGRycy9kb3ducmV2LnhtbFBLAQIUABQAAAAI&#10;AIdO4kCNniIxtAEAAF0DAAAOAAAAAAAAAAEAIAAAACcBAABkcnMvZTJvRG9jLnhtbFBLBQYAAAAA&#10;BgAGAFkBAABNBQAAAAA=&#10;">
                <v:fill on="f" focussize="0,0"/>
                <v:stroke on="f"/>
                <v:imagedata o:title=""/>
                <o:lock v:ext="edit" aspectratio="f"/>
                <v:textbox>
                  <w:txbxContent>
                    <w:p w14:paraId="77D2D2F9">
                      <w:pPr>
                        <w:ind w:left="5400" w:hanging="5400" w:hangingChars="2250"/>
                        <w:jc w:val="left"/>
                        <w:rPr>
                          <w:rFonts w:hint="eastAsia"/>
                          <w:sz w:val="24"/>
                        </w:rPr>
                      </w:pPr>
                    </w:p>
                    <w:p w14:paraId="5E1AC0E2">
                      <w:pPr>
                        <w:adjustRightInd w:val="0"/>
                        <w:snapToGrid w:val="0"/>
                        <w:rPr>
                          <w:rFonts w:hint="default" w:ascii="Times New Roman" w:hAnsi="Times New Roman" w:cs="Times New Roman"/>
                          <w:sz w:val="24"/>
                        </w:rPr>
                      </w:pPr>
                      <w:r>
                        <w:rPr>
                          <w:rFonts w:hint="default" w:ascii="Times New Roman" w:hAnsi="Times New Roman" w:cs="Times New Roman"/>
                          <w:sz w:val="24"/>
                        </w:rPr>
                        <w:t>供方（公章）：</w:t>
                      </w:r>
                      <w:r>
                        <w:rPr>
                          <w:rFonts w:hint="default" w:ascii="Times New Roman" w:hAnsi="Times New Roman" w:cs="Times New Roman"/>
                          <w:bCs/>
                          <w:sz w:val="24"/>
                          <w:u w:val="single"/>
                        </w:rPr>
                        <w:t xml:space="preserve">  </w:t>
                      </w:r>
                    </w:p>
                    <w:p w14:paraId="1DEC5878">
                      <w:pPr>
                        <w:adjustRightInd w:val="0"/>
                        <w:snapToGrid w:val="0"/>
                        <w:rPr>
                          <w:rFonts w:hint="default" w:ascii="Times New Roman" w:hAnsi="Times New Roman" w:cs="Times New Roman"/>
                          <w:sz w:val="24"/>
                        </w:rPr>
                      </w:pPr>
                    </w:p>
                    <w:p w14:paraId="4C0A331C">
                      <w:pPr>
                        <w:adjustRightInd w:val="0"/>
                        <w:snapToGrid w:val="0"/>
                        <w:rPr>
                          <w:rFonts w:hint="default" w:ascii="Times New Roman" w:hAnsi="Times New Roman" w:cs="Times New Roman"/>
                          <w:sz w:val="24"/>
                        </w:rPr>
                      </w:pPr>
                    </w:p>
                    <w:p w14:paraId="64F9C23D">
                      <w:pPr>
                        <w:adjustRightInd w:val="0"/>
                        <w:snapToGrid w:val="0"/>
                        <w:rPr>
                          <w:rFonts w:hint="default" w:ascii="Times New Roman" w:hAnsi="Times New Roman" w:cs="Times New Roman"/>
                          <w:sz w:val="24"/>
                          <w:u w:val="single"/>
                        </w:rPr>
                      </w:pPr>
                      <w:r>
                        <w:rPr>
                          <w:rFonts w:hint="default" w:ascii="Times New Roman" w:hAnsi="Times New Roman" w:cs="Times New Roman"/>
                          <w:sz w:val="24"/>
                        </w:rPr>
                        <w:t>法定代表人（签章）或授权代表（签字）：</w:t>
                      </w:r>
                    </w:p>
                    <w:p w14:paraId="4408B009">
                      <w:pPr>
                        <w:adjustRightInd w:val="0"/>
                        <w:snapToGrid w:val="0"/>
                        <w:rPr>
                          <w:rFonts w:hint="default" w:ascii="Times New Roman" w:hAnsi="Times New Roman" w:cs="Times New Roman"/>
                          <w:sz w:val="24"/>
                          <w:u w:val="single"/>
                        </w:rPr>
                      </w:pPr>
                    </w:p>
                    <w:p w14:paraId="2CE1FD02">
                      <w:pPr>
                        <w:adjustRightInd w:val="0"/>
                        <w:snapToGrid w:val="0"/>
                        <w:rPr>
                          <w:rFonts w:hint="default" w:ascii="Times New Roman" w:hAnsi="Times New Roman" w:cs="Times New Roman"/>
                          <w:sz w:val="24"/>
                          <w:u w:val="single"/>
                        </w:rPr>
                      </w:pPr>
                      <w:r>
                        <w:rPr>
                          <w:rFonts w:hint="default" w:ascii="Times New Roman" w:hAnsi="Times New Roman" w:cs="Times New Roman"/>
                          <w:sz w:val="24"/>
                          <w:u w:val="single"/>
                        </w:rPr>
                        <w:t xml:space="preserve">                                      </w:t>
                      </w:r>
                    </w:p>
                    <w:p w14:paraId="662EF2AA">
                      <w:pPr>
                        <w:adjustRightInd w:val="0"/>
                        <w:snapToGrid w:val="0"/>
                        <w:rPr>
                          <w:rFonts w:hint="default" w:ascii="Times New Roman" w:hAnsi="Times New Roman" w:cs="Times New Roman"/>
                          <w:sz w:val="24"/>
                        </w:rPr>
                      </w:pPr>
                    </w:p>
                    <w:p w14:paraId="7A16D93E">
                      <w:pPr>
                        <w:adjustRightInd w:val="0"/>
                        <w:snapToGrid w:val="0"/>
                        <w:rPr>
                          <w:rFonts w:hint="default" w:ascii="Times New Roman" w:hAnsi="Times New Roman" w:cs="Times New Roman"/>
                          <w:bCs/>
                          <w:sz w:val="24"/>
                          <w:u w:val="single"/>
                        </w:rPr>
                      </w:pPr>
                      <w:r>
                        <w:rPr>
                          <w:rFonts w:hint="default" w:ascii="Times New Roman" w:hAnsi="Times New Roman" w:cs="Times New Roman"/>
                          <w:sz w:val="24"/>
                        </w:rPr>
                        <w:t>地址：</w:t>
                      </w:r>
                      <w:r>
                        <w:rPr>
                          <w:rFonts w:hint="default" w:ascii="Times New Roman" w:hAnsi="Times New Roman" w:cs="Times New Roman"/>
                          <w:bCs/>
                          <w:sz w:val="24"/>
                          <w:u w:val="single"/>
                        </w:rPr>
                        <w:t xml:space="preserve">                                </w:t>
                      </w:r>
                    </w:p>
                    <w:p w14:paraId="5D4F63F5">
                      <w:pPr>
                        <w:adjustRightInd w:val="0"/>
                        <w:snapToGrid w:val="0"/>
                        <w:rPr>
                          <w:rFonts w:hint="default" w:ascii="Times New Roman" w:hAnsi="Times New Roman" w:cs="Times New Roman"/>
                          <w:sz w:val="24"/>
                        </w:rPr>
                      </w:pPr>
                      <w:r>
                        <w:rPr>
                          <w:rFonts w:hint="default" w:ascii="Times New Roman" w:hAnsi="Times New Roman" w:cs="Times New Roman"/>
                          <w:sz w:val="24"/>
                        </w:rPr>
                        <w:t xml:space="preserve"> </w:t>
                      </w:r>
                    </w:p>
                    <w:p w14:paraId="21266F29">
                      <w:pPr>
                        <w:adjustRightInd w:val="0"/>
                        <w:snapToGrid w:val="0"/>
                        <w:rPr>
                          <w:rFonts w:hint="default" w:ascii="Times New Roman" w:hAnsi="Times New Roman" w:cs="Times New Roman"/>
                          <w:b w:val="0"/>
                          <w:bCs w:val="0"/>
                          <w:sz w:val="24"/>
                          <w:u w:val="single"/>
                        </w:rPr>
                      </w:pPr>
                      <w:r>
                        <w:rPr>
                          <w:rFonts w:hint="default" w:ascii="Times New Roman" w:hAnsi="Times New Roman" w:cs="Times New Roman"/>
                          <w:sz w:val="24"/>
                        </w:rPr>
                        <w:t>联系人：</w:t>
                      </w:r>
                      <w:r>
                        <w:rPr>
                          <w:rFonts w:hint="default" w:ascii="Times New Roman" w:hAnsi="Times New Roman" w:cs="Times New Roman"/>
                          <w:b w:val="0"/>
                          <w:bCs w:val="0"/>
                          <w:sz w:val="24"/>
                          <w:u w:val="single"/>
                        </w:rPr>
                        <w:t xml:space="preserve">                              </w:t>
                      </w:r>
                    </w:p>
                    <w:p w14:paraId="5D9ED9BD">
                      <w:pPr>
                        <w:adjustRightInd w:val="0"/>
                        <w:snapToGrid w:val="0"/>
                        <w:rPr>
                          <w:rFonts w:hint="default" w:ascii="Times New Roman" w:hAnsi="Times New Roman" w:cs="Times New Roman"/>
                          <w:b w:val="0"/>
                          <w:bCs w:val="0"/>
                          <w:sz w:val="24"/>
                        </w:rPr>
                      </w:pPr>
                    </w:p>
                    <w:p w14:paraId="235596E6">
                      <w:pPr>
                        <w:adjustRightInd w:val="0"/>
                        <w:snapToGrid w:val="0"/>
                        <w:rPr>
                          <w:rFonts w:hint="default" w:ascii="Times New Roman" w:hAnsi="Times New Roman" w:cs="Times New Roman"/>
                          <w:b w:val="0"/>
                          <w:bCs w:val="0"/>
                          <w:sz w:val="24"/>
                          <w:u w:val="single"/>
                        </w:rPr>
                      </w:pPr>
                      <w:r>
                        <w:rPr>
                          <w:rFonts w:hint="default" w:ascii="Times New Roman" w:hAnsi="Times New Roman" w:cs="Times New Roman"/>
                          <w:b w:val="0"/>
                          <w:bCs w:val="0"/>
                          <w:sz w:val="24"/>
                        </w:rPr>
                        <w:t>电话：</w:t>
                      </w:r>
                      <w:r>
                        <w:rPr>
                          <w:rFonts w:hint="default" w:ascii="Times New Roman" w:hAnsi="Times New Roman" w:cs="Times New Roman"/>
                          <w:b w:val="0"/>
                          <w:bCs w:val="0"/>
                          <w:sz w:val="24"/>
                          <w:u w:val="single"/>
                        </w:rPr>
                        <w:t xml:space="preserve">                                </w:t>
                      </w:r>
                    </w:p>
                    <w:p w14:paraId="0ECF4E68">
                      <w:pPr>
                        <w:adjustRightInd w:val="0"/>
                        <w:snapToGrid w:val="0"/>
                        <w:rPr>
                          <w:rFonts w:hint="default" w:ascii="Times New Roman" w:hAnsi="Times New Roman" w:cs="Times New Roman"/>
                          <w:bCs/>
                          <w:sz w:val="24"/>
                          <w:u w:val="single"/>
                        </w:rPr>
                      </w:pPr>
                    </w:p>
                    <w:p w14:paraId="79D38B1F">
                      <w:pPr>
                        <w:adjustRightInd w:val="0"/>
                        <w:snapToGrid w:val="0"/>
                        <w:rPr>
                          <w:rFonts w:hint="default" w:ascii="Times New Roman" w:hAnsi="Times New Roman" w:cs="Times New Roman"/>
                          <w:bCs/>
                          <w:sz w:val="24"/>
                          <w:u w:val="single"/>
                        </w:rPr>
                      </w:pPr>
                      <w:r>
                        <w:rPr>
                          <w:rFonts w:hint="default" w:ascii="Times New Roman" w:hAnsi="Times New Roman" w:cs="Times New Roman"/>
                          <w:bCs/>
                          <w:sz w:val="24"/>
                        </w:rPr>
                        <w:t>开户行：</w:t>
                      </w:r>
                      <w:r>
                        <w:rPr>
                          <w:rFonts w:hint="default" w:ascii="Times New Roman" w:hAnsi="Times New Roman" w:cs="Times New Roman"/>
                          <w:bCs/>
                          <w:sz w:val="24"/>
                          <w:u w:val="single"/>
                        </w:rPr>
                        <w:t xml:space="preserve">                              </w:t>
                      </w:r>
                    </w:p>
                    <w:p w14:paraId="053BFD0E">
                      <w:pPr>
                        <w:adjustRightInd w:val="0"/>
                        <w:snapToGrid w:val="0"/>
                        <w:rPr>
                          <w:rFonts w:hint="default" w:ascii="Times New Roman" w:hAnsi="Times New Roman" w:cs="Times New Roman"/>
                          <w:bCs/>
                          <w:sz w:val="24"/>
                          <w:u w:val="single"/>
                        </w:rPr>
                      </w:pPr>
                    </w:p>
                    <w:p w14:paraId="66C8A244">
                      <w:pPr>
                        <w:adjustRightInd w:val="0"/>
                        <w:snapToGrid w:val="0"/>
                        <w:rPr>
                          <w:rFonts w:hint="default" w:ascii="Times New Roman" w:hAnsi="Times New Roman" w:cs="Times New Roman"/>
                          <w:sz w:val="24"/>
                        </w:rPr>
                      </w:pPr>
                      <w:r>
                        <w:rPr>
                          <w:rFonts w:hint="default" w:ascii="Times New Roman" w:hAnsi="Times New Roman" w:cs="Times New Roman"/>
                          <w:bCs/>
                          <w:sz w:val="24"/>
                        </w:rPr>
                        <w:t>账号：</w:t>
                      </w:r>
                      <w:r>
                        <w:rPr>
                          <w:rFonts w:hint="default" w:ascii="Times New Roman" w:hAnsi="Times New Roman" w:cs="Times New Roman"/>
                          <w:bCs/>
                          <w:sz w:val="24"/>
                          <w:u w:val="single"/>
                        </w:rPr>
                        <w:t xml:space="preserve">                 </w:t>
                      </w:r>
                      <w:r>
                        <w:rPr>
                          <w:rFonts w:hint="default" w:ascii="Times New Roman" w:hAnsi="Times New Roman" w:cs="Times New Roman"/>
                          <w:sz w:val="24"/>
                          <w:u w:val="single"/>
                        </w:rPr>
                        <w:t xml:space="preserve">               </w:t>
                      </w:r>
                    </w:p>
                    <w:p w14:paraId="7581C127">
                      <w:pPr>
                        <w:ind w:left="5400" w:hanging="5400" w:hangingChars="2250"/>
                        <w:jc w:val="left"/>
                        <w:rPr>
                          <w:sz w:val="24"/>
                        </w:rPr>
                      </w:pPr>
                    </w:p>
                  </w:txbxContent>
                </v:textbox>
              </v:shape>
            </w:pict>
          </mc:Fallback>
        </mc:AlternateContent>
      </w:r>
    </w:p>
    <w:p w14:paraId="226A9688">
      <w:pPr>
        <w:jc w:val="right"/>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mc:AlternateContent>
          <mc:Choice Requires="wps">
            <w:drawing>
              <wp:anchor distT="0" distB="0" distL="114300" distR="114300" simplePos="0" relativeHeight="251663360" behindDoc="0" locked="0" layoutInCell="1" allowOverlap="1">
                <wp:simplePos x="0" y="0"/>
                <wp:positionH relativeFrom="column">
                  <wp:posOffset>-173990</wp:posOffset>
                </wp:positionH>
                <wp:positionV relativeFrom="paragraph">
                  <wp:posOffset>151765</wp:posOffset>
                </wp:positionV>
                <wp:extent cx="3143250" cy="434467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143250" cy="4344670"/>
                        </a:xfrm>
                        <a:prstGeom prst="rect">
                          <a:avLst/>
                        </a:prstGeom>
                        <a:noFill/>
                        <a:ln>
                          <a:noFill/>
                        </a:ln>
                        <a:effectLst/>
                      </wps:spPr>
                      <wps:txbx>
                        <w:txbxContent>
                          <w:p w14:paraId="09D7041F">
                            <w:pPr>
                              <w:adjustRightInd w:val="0"/>
                              <w:snapToGrid w:val="0"/>
                              <w:ind w:left="5400" w:hanging="5400" w:hangingChars="2250"/>
                              <w:jc w:val="left"/>
                              <w:rPr>
                                <w:rFonts w:hint="default" w:ascii="Times New Roman" w:hAnsi="Times New Roman" w:cs="Times New Roman"/>
                                <w:sz w:val="24"/>
                              </w:rPr>
                            </w:pPr>
                            <w:r>
                              <w:rPr>
                                <w:rFonts w:hint="default" w:ascii="Times New Roman" w:hAnsi="Times New Roman" w:cs="Times New Roman"/>
                                <w:sz w:val="24"/>
                              </w:rPr>
                              <w:t>需方（</w:t>
                            </w:r>
                            <w:r>
                              <w:rPr>
                                <w:rFonts w:hint="eastAsia" w:cs="Times New Roman"/>
                                <w:sz w:val="24"/>
                                <w:lang w:val="en-US" w:eastAsia="zh-CN"/>
                              </w:rPr>
                              <w:t>合同专用</w:t>
                            </w:r>
                            <w:r>
                              <w:rPr>
                                <w:rFonts w:hint="default" w:ascii="Times New Roman" w:hAnsi="Times New Roman" w:cs="Times New Roman"/>
                                <w:sz w:val="24"/>
                              </w:rPr>
                              <w:t>章）：</w:t>
                            </w:r>
                            <w:r>
                              <w:rPr>
                                <w:rFonts w:hint="default" w:ascii="Times New Roman" w:hAnsi="Times New Roman" w:cs="Times New Roman"/>
                                <w:sz w:val="24"/>
                                <w:u w:val="single"/>
                              </w:rPr>
                              <w:t xml:space="preserve">  沈阳农业大学  </w:t>
                            </w:r>
                          </w:p>
                          <w:p w14:paraId="31C43C03">
                            <w:pPr>
                              <w:adjustRightInd w:val="0"/>
                              <w:snapToGrid w:val="0"/>
                              <w:jc w:val="left"/>
                              <w:rPr>
                                <w:rFonts w:hint="default" w:ascii="Times New Roman" w:hAnsi="Times New Roman" w:cs="Times New Roman"/>
                                <w:sz w:val="24"/>
                              </w:rPr>
                            </w:pPr>
                          </w:p>
                          <w:p w14:paraId="4A10149B">
                            <w:pPr>
                              <w:adjustRightInd w:val="0"/>
                              <w:snapToGrid w:val="0"/>
                              <w:jc w:val="left"/>
                              <w:rPr>
                                <w:rFonts w:hint="default" w:ascii="Times New Roman" w:hAnsi="Times New Roman" w:cs="Times New Roman"/>
                                <w:sz w:val="24"/>
                              </w:rPr>
                            </w:pPr>
                          </w:p>
                          <w:p w14:paraId="17136E88">
                            <w:pPr>
                              <w:adjustRightInd w:val="0"/>
                              <w:snapToGrid w:val="0"/>
                              <w:rPr>
                                <w:rFonts w:hint="default" w:ascii="Times New Roman" w:hAnsi="Times New Roman" w:cs="Times New Roman"/>
                                <w:sz w:val="24"/>
                                <w:u w:val="single"/>
                              </w:rPr>
                            </w:pPr>
                            <w:r>
                              <w:rPr>
                                <w:rFonts w:hint="default" w:ascii="Times New Roman" w:hAnsi="Times New Roman" w:cs="Times New Roman"/>
                                <w:sz w:val="24"/>
                              </w:rPr>
                              <w:t>法定代表人或授权代表（签字）：</w:t>
                            </w:r>
                            <w:r>
                              <w:rPr>
                                <w:rFonts w:hint="default" w:ascii="Times New Roman" w:hAnsi="Times New Roman" w:cs="Times New Roman"/>
                                <w:sz w:val="24"/>
                                <w:u w:val="single"/>
                              </w:rPr>
                              <w:t xml:space="preserve">          </w:t>
                            </w:r>
                          </w:p>
                          <w:p w14:paraId="47A6F846">
                            <w:pPr>
                              <w:adjustRightInd w:val="0"/>
                              <w:snapToGrid w:val="0"/>
                              <w:rPr>
                                <w:rFonts w:hint="default" w:ascii="Times New Roman" w:hAnsi="Times New Roman" w:cs="Times New Roman"/>
                                <w:sz w:val="24"/>
                              </w:rPr>
                            </w:pPr>
                          </w:p>
                          <w:p w14:paraId="2A9593C9">
                            <w:pPr>
                              <w:adjustRightInd w:val="0"/>
                              <w:snapToGrid w:val="0"/>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沈阳市沈河区东陵路120号</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14:paraId="64BEE8DD">
                            <w:pPr>
                              <w:adjustRightInd w:val="0"/>
                              <w:snapToGrid w:val="0"/>
                              <w:rPr>
                                <w:rFonts w:hint="default" w:ascii="Times New Roman" w:hAnsi="Times New Roman" w:cs="Times New Roman"/>
                                <w:sz w:val="24"/>
                                <w:u w:val="single"/>
                              </w:rPr>
                            </w:pPr>
                          </w:p>
                          <w:p w14:paraId="315B2C3D">
                            <w:pPr>
                              <w:adjustRightInd w:val="0"/>
                              <w:snapToGrid w:val="0"/>
                              <w:rPr>
                                <w:rFonts w:hint="default" w:ascii="Times New Roman" w:hAnsi="Times New Roman" w:cs="Times New Roman"/>
                                <w:sz w:val="24"/>
                                <w:lang w:val="en-US"/>
                              </w:rPr>
                            </w:pPr>
                            <w:r>
                              <w:rPr>
                                <w:rFonts w:hint="default" w:ascii="Times New Roman" w:hAnsi="Times New Roman" w:cs="Times New Roman"/>
                                <w:bCs/>
                                <w:sz w:val="24"/>
                              </w:rPr>
                              <w:t>合同执行单位：</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eastAsia" w:cs="Times New Roman"/>
                                <w:sz w:val="24"/>
                                <w:u w:val="single"/>
                                <w:lang w:val="en-US" w:eastAsia="zh-CN"/>
                              </w:rPr>
                              <w:t xml:space="preserve">                   </w:t>
                            </w:r>
                          </w:p>
                          <w:p w14:paraId="734ED8EF">
                            <w:pPr>
                              <w:adjustRightInd w:val="0"/>
                              <w:snapToGrid w:val="0"/>
                              <w:rPr>
                                <w:rFonts w:hint="default" w:ascii="Times New Roman" w:hAnsi="Times New Roman" w:cs="Times New Roman"/>
                                <w:sz w:val="24"/>
                                <w:u w:val="single"/>
                              </w:rPr>
                            </w:pPr>
                          </w:p>
                          <w:p w14:paraId="51586382">
                            <w:pPr>
                              <w:adjustRightInd w:val="0"/>
                              <w:snapToGrid w:val="0"/>
                              <w:rPr>
                                <w:rFonts w:hint="default" w:ascii="Times New Roman" w:hAnsi="Times New Roman" w:cs="Times New Roman"/>
                                <w:sz w:val="24"/>
                                <w:u w:val="single"/>
                              </w:rPr>
                            </w:pPr>
                            <w:r>
                              <w:rPr>
                                <w:rFonts w:hint="default" w:ascii="Times New Roman" w:hAnsi="Times New Roman" w:cs="Times New Roman"/>
                                <w:sz w:val="24"/>
                              </w:rPr>
                              <w:t>合同执行联系人：</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14:paraId="02C9BDED">
                            <w:pPr>
                              <w:adjustRightInd w:val="0"/>
                              <w:snapToGrid w:val="0"/>
                              <w:rPr>
                                <w:rFonts w:hint="default" w:ascii="Times New Roman" w:hAnsi="Times New Roman" w:cs="Times New Roman"/>
                                <w:sz w:val="24"/>
                              </w:rPr>
                            </w:pPr>
                            <w:r>
                              <w:rPr>
                                <w:rFonts w:hint="default" w:ascii="Times New Roman" w:hAnsi="Times New Roman" w:cs="Times New Roman"/>
                                <w:sz w:val="24"/>
                              </w:rPr>
                              <w:t xml:space="preserve"> </w:t>
                            </w:r>
                          </w:p>
                          <w:p w14:paraId="29341932">
                            <w:pPr>
                              <w:adjustRightInd w:val="0"/>
                              <w:snapToGrid w:val="0"/>
                              <w:rPr>
                                <w:rFonts w:hint="default" w:ascii="Times New Roman" w:hAnsi="Times New Roman" w:cs="Times New Roman"/>
                                <w:sz w:val="24"/>
                                <w:u w:val="single"/>
                              </w:rPr>
                            </w:pPr>
                            <w:r>
                              <w:rPr>
                                <w:rFonts w:hint="default" w:ascii="Times New Roman" w:hAnsi="Times New Roman" w:cs="Times New Roman"/>
                                <w:sz w:val="24"/>
                              </w:rPr>
                              <w:t>手机</w:t>
                            </w:r>
                            <w:r>
                              <w:rPr>
                                <w:rFonts w:hint="default" w:ascii="Times New Roman" w:hAnsi="Times New Roman" w:cs="Times New Roman"/>
                                <w:bCs/>
                                <w:sz w:val="24"/>
                              </w:rPr>
                              <w:t>：</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14:paraId="32B650D5">
                            <w:pPr>
                              <w:pStyle w:val="10"/>
                              <w:rPr>
                                <w:rFonts w:hint="default" w:hAnsi="Times New Roman" w:cs="Times New Roman"/>
                                <w:sz w:val="24"/>
                                <w:u w:val="none"/>
                                <w:lang w:val="en-US" w:eastAsia="zh-CN"/>
                              </w:rPr>
                            </w:pPr>
                            <w:r>
                              <w:rPr>
                                <w:rFonts w:hint="eastAsia" w:hAnsi="Times New Roman" w:cs="Times New Roman"/>
                                <w:sz w:val="24"/>
                                <w:u w:val="none"/>
                                <w:lang w:val="en-US" w:eastAsia="zh-CN"/>
                              </w:rPr>
                              <w:t>开户行：</w:t>
                            </w:r>
                            <w:r>
                              <w:rPr>
                                <w:rFonts w:hint="eastAsia" w:hAnsi="Times New Roman" w:cs="Times New Roman"/>
                                <w:sz w:val="24"/>
                                <w:u w:val="single"/>
                                <w:lang w:val="en-US" w:eastAsia="zh-CN"/>
                              </w:rPr>
                              <w:t xml:space="preserve">     中国银行沈阳大东支行      </w:t>
                            </w:r>
                          </w:p>
                          <w:p w14:paraId="1439E98F">
                            <w:pPr>
                              <w:pStyle w:val="10"/>
                              <w:rPr>
                                <w:rFonts w:hint="default" w:ascii="Times New Roman" w:hAnsi="Times New Roman" w:cs="Times New Roman"/>
                                <w:sz w:val="24"/>
                                <w:u w:val="single"/>
                                <w:lang w:val="en-US" w:eastAsia="zh-CN"/>
                              </w:rPr>
                            </w:pPr>
                            <w:r>
                              <w:rPr>
                                <w:rFonts w:hint="eastAsia" w:hAnsi="Times New Roman" w:cs="Times New Roman"/>
                                <w:sz w:val="24"/>
                                <w:u w:val="none"/>
                                <w:lang w:val="en-US" w:eastAsia="zh-CN"/>
                              </w:rPr>
                              <w:t>账号：</w:t>
                            </w:r>
                            <w:r>
                              <w:rPr>
                                <w:rFonts w:hint="eastAsia" w:hAnsi="Times New Roman" w:cs="Times New Roman"/>
                                <w:sz w:val="24"/>
                                <w:u w:val="single"/>
                                <w:lang w:val="en-US" w:eastAsia="zh-CN"/>
                              </w:rPr>
                              <w:t xml:space="preserve">       </w:t>
                            </w:r>
                            <w:r>
                              <w:rPr>
                                <w:rFonts w:hint="default" w:ascii="Times New Roman" w:hAnsi="Times New Roman" w:cs="Times New Roman"/>
                                <w:sz w:val="24"/>
                                <w:u w:val="single"/>
                                <w:lang w:val="en-US" w:eastAsia="zh-CN"/>
                              </w:rPr>
                              <w:t xml:space="preserve"> 2869 5632 9338         </w:t>
                            </w:r>
                            <w:r>
                              <w:rPr>
                                <w:rFonts w:hint="eastAsia" w:ascii="Times New Roman" w:hAnsi="Times New Roman" w:cs="Times New Roman"/>
                                <w:sz w:val="24"/>
                                <w:u w:val="single"/>
                                <w:lang w:val="en-US" w:eastAsia="zh-CN"/>
                              </w:rPr>
                              <w:t xml:space="preserve"> </w:t>
                            </w:r>
                            <w:r>
                              <w:rPr>
                                <w:rFonts w:hint="default" w:ascii="Times New Roman" w:hAnsi="Times New Roman" w:cs="Times New Roman"/>
                                <w:sz w:val="24"/>
                                <w:u w:val="single"/>
                                <w:lang w:val="en-US" w:eastAsia="zh-CN"/>
                              </w:rPr>
                              <w:t xml:space="preserve">  </w:t>
                            </w:r>
                          </w:p>
                          <w:p w14:paraId="692AE544">
                            <w:pPr>
                              <w:pStyle w:val="10"/>
                              <w:rPr>
                                <w:rFonts w:hint="default" w:ascii="Times New Roman" w:hAnsi="Times New Roman" w:eastAsia="宋体" w:cs="Times New Roman"/>
                                <w:kern w:val="2"/>
                                <w:position w:val="0"/>
                                <w:sz w:val="24"/>
                                <w:szCs w:val="24"/>
                                <w:u w:val="single"/>
                                <w:lang w:val="en-US" w:eastAsia="zh-CN" w:bidi="ar-SA"/>
                              </w:rPr>
                            </w:pPr>
                            <w:r>
                              <w:rPr>
                                <w:rFonts w:hint="default" w:ascii="Times New Roman" w:hAnsi="Times New Roman" w:eastAsia="宋体" w:cs="Times New Roman"/>
                                <w:kern w:val="2"/>
                                <w:position w:val="0"/>
                                <w:sz w:val="24"/>
                                <w:szCs w:val="24"/>
                                <w:u w:val="none"/>
                                <w:lang w:val="en-US" w:eastAsia="zh-CN" w:bidi="ar-SA"/>
                              </w:rPr>
                              <w:t>行号：</w:t>
                            </w:r>
                            <w:r>
                              <w:rPr>
                                <w:rFonts w:hint="default" w:ascii="Times New Roman" w:hAnsi="Times New Roman" w:eastAsia="宋体" w:cs="Times New Roman"/>
                                <w:kern w:val="2"/>
                                <w:position w:val="0"/>
                                <w:sz w:val="24"/>
                                <w:szCs w:val="24"/>
                                <w:u w:val="single"/>
                                <w:lang w:val="en-US" w:eastAsia="zh-CN" w:bidi="ar-SA"/>
                              </w:rPr>
                              <w:t xml:space="preserve">        104 221 014 010          </w:t>
                            </w:r>
                          </w:p>
                          <w:p w14:paraId="6D12470E">
                            <w:pPr>
                              <w:pStyle w:val="10"/>
                              <w:rPr>
                                <w:rFonts w:hint="default" w:ascii="Times New Roman" w:hAnsi="Times New Roman" w:eastAsia="宋体" w:cs="Times New Roman"/>
                                <w:kern w:val="2"/>
                                <w:position w:val="0"/>
                                <w:sz w:val="24"/>
                                <w:szCs w:val="24"/>
                                <w:u w:val="single"/>
                                <w:lang w:val="en-US" w:eastAsia="zh-CN" w:bidi="ar-SA"/>
                              </w:rPr>
                            </w:pPr>
                            <w:r>
                              <w:rPr>
                                <w:rFonts w:hint="default" w:ascii="Times New Roman" w:hAnsi="Times New Roman" w:eastAsia="宋体" w:cs="Times New Roman"/>
                                <w:kern w:val="2"/>
                                <w:position w:val="0"/>
                                <w:sz w:val="24"/>
                                <w:szCs w:val="24"/>
                                <w:u w:val="none"/>
                                <w:lang w:val="en-US" w:eastAsia="zh-CN" w:bidi="ar-SA"/>
                              </w:rPr>
                              <w:t>纳税人识别号：</w:t>
                            </w:r>
                            <w:r>
                              <w:rPr>
                                <w:rFonts w:hint="default" w:ascii="Times New Roman" w:hAnsi="Times New Roman" w:eastAsia="宋体" w:cs="Times New Roman"/>
                                <w:kern w:val="2"/>
                                <w:position w:val="0"/>
                                <w:sz w:val="24"/>
                                <w:szCs w:val="24"/>
                                <w:u w:val="single"/>
                                <w:lang w:val="en-US" w:eastAsia="zh-CN" w:bidi="ar-SA"/>
                              </w:rPr>
                              <w:t xml:space="preserve"> 1221 0000 4630 0657 2U  </w:t>
                            </w:r>
                          </w:p>
                        </w:txbxContent>
                      </wps:txbx>
                      <wps:bodyPr upright="1"/>
                    </wps:wsp>
                  </a:graphicData>
                </a:graphic>
              </wp:anchor>
            </w:drawing>
          </mc:Choice>
          <mc:Fallback>
            <w:pict>
              <v:shape id="_x0000_s1026" o:spid="_x0000_s1026" o:spt="202" type="#_x0000_t202" style="position:absolute;left:0pt;margin-left:-13.7pt;margin-top:11.95pt;height:342.1pt;width:247.5pt;z-index:251663360;mso-width-relative:page;mso-height-relative:page;" filled="f" stroked="f" coordsize="21600,21600" o:gfxdata="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rgqpdgAAAAKAQAADwAAAAAAAAABACAAAAAiAAAAZHJzL2Rvd25yZXYueG1sUEsBAhQAFAAAAAgA&#10;h07iQJfk2wuzAQAAXQMAAA4AAAAAAAAAAQAgAAAAJwEAAGRycy9lMm9Eb2MueG1sUEsFBgAAAAAG&#10;AAYAWQEAAEwFAAAAAA==&#10;">
                <v:fill on="f" focussize="0,0"/>
                <v:stroke on="f"/>
                <v:imagedata o:title=""/>
                <o:lock v:ext="edit" aspectratio="f"/>
                <v:textbox>
                  <w:txbxContent>
                    <w:p w14:paraId="09D7041F">
                      <w:pPr>
                        <w:adjustRightInd w:val="0"/>
                        <w:snapToGrid w:val="0"/>
                        <w:ind w:left="5400" w:hanging="5400" w:hangingChars="2250"/>
                        <w:jc w:val="left"/>
                        <w:rPr>
                          <w:rFonts w:hint="default" w:ascii="Times New Roman" w:hAnsi="Times New Roman" w:cs="Times New Roman"/>
                          <w:sz w:val="24"/>
                        </w:rPr>
                      </w:pPr>
                      <w:r>
                        <w:rPr>
                          <w:rFonts w:hint="default" w:ascii="Times New Roman" w:hAnsi="Times New Roman" w:cs="Times New Roman"/>
                          <w:sz w:val="24"/>
                        </w:rPr>
                        <w:t>需方（</w:t>
                      </w:r>
                      <w:r>
                        <w:rPr>
                          <w:rFonts w:hint="eastAsia" w:cs="Times New Roman"/>
                          <w:sz w:val="24"/>
                          <w:lang w:val="en-US" w:eastAsia="zh-CN"/>
                        </w:rPr>
                        <w:t>合同专用</w:t>
                      </w:r>
                      <w:r>
                        <w:rPr>
                          <w:rFonts w:hint="default" w:ascii="Times New Roman" w:hAnsi="Times New Roman" w:cs="Times New Roman"/>
                          <w:sz w:val="24"/>
                        </w:rPr>
                        <w:t>章）：</w:t>
                      </w:r>
                      <w:r>
                        <w:rPr>
                          <w:rFonts w:hint="default" w:ascii="Times New Roman" w:hAnsi="Times New Roman" w:cs="Times New Roman"/>
                          <w:sz w:val="24"/>
                          <w:u w:val="single"/>
                        </w:rPr>
                        <w:t xml:space="preserve">  沈阳农业大学  </w:t>
                      </w:r>
                    </w:p>
                    <w:p w14:paraId="31C43C03">
                      <w:pPr>
                        <w:adjustRightInd w:val="0"/>
                        <w:snapToGrid w:val="0"/>
                        <w:jc w:val="left"/>
                        <w:rPr>
                          <w:rFonts w:hint="default" w:ascii="Times New Roman" w:hAnsi="Times New Roman" w:cs="Times New Roman"/>
                          <w:sz w:val="24"/>
                        </w:rPr>
                      </w:pPr>
                    </w:p>
                    <w:p w14:paraId="4A10149B">
                      <w:pPr>
                        <w:adjustRightInd w:val="0"/>
                        <w:snapToGrid w:val="0"/>
                        <w:jc w:val="left"/>
                        <w:rPr>
                          <w:rFonts w:hint="default" w:ascii="Times New Roman" w:hAnsi="Times New Roman" w:cs="Times New Roman"/>
                          <w:sz w:val="24"/>
                        </w:rPr>
                      </w:pPr>
                    </w:p>
                    <w:p w14:paraId="17136E88">
                      <w:pPr>
                        <w:adjustRightInd w:val="0"/>
                        <w:snapToGrid w:val="0"/>
                        <w:rPr>
                          <w:rFonts w:hint="default" w:ascii="Times New Roman" w:hAnsi="Times New Roman" w:cs="Times New Roman"/>
                          <w:sz w:val="24"/>
                          <w:u w:val="single"/>
                        </w:rPr>
                      </w:pPr>
                      <w:r>
                        <w:rPr>
                          <w:rFonts w:hint="default" w:ascii="Times New Roman" w:hAnsi="Times New Roman" w:cs="Times New Roman"/>
                          <w:sz w:val="24"/>
                        </w:rPr>
                        <w:t>法定代表人或授权代表（签字）：</w:t>
                      </w:r>
                      <w:r>
                        <w:rPr>
                          <w:rFonts w:hint="default" w:ascii="Times New Roman" w:hAnsi="Times New Roman" w:cs="Times New Roman"/>
                          <w:sz w:val="24"/>
                          <w:u w:val="single"/>
                        </w:rPr>
                        <w:t xml:space="preserve">          </w:t>
                      </w:r>
                    </w:p>
                    <w:p w14:paraId="47A6F846">
                      <w:pPr>
                        <w:adjustRightInd w:val="0"/>
                        <w:snapToGrid w:val="0"/>
                        <w:rPr>
                          <w:rFonts w:hint="default" w:ascii="Times New Roman" w:hAnsi="Times New Roman" w:cs="Times New Roman"/>
                          <w:sz w:val="24"/>
                        </w:rPr>
                      </w:pPr>
                    </w:p>
                    <w:p w14:paraId="2A9593C9">
                      <w:pPr>
                        <w:adjustRightInd w:val="0"/>
                        <w:snapToGrid w:val="0"/>
                        <w:rPr>
                          <w:rFonts w:hint="default" w:ascii="Times New Roman" w:hAnsi="Times New Roman" w:cs="Times New Roman"/>
                          <w:sz w:val="24"/>
                        </w:rPr>
                      </w:pPr>
                      <w:r>
                        <w:rPr>
                          <w:rFonts w:hint="default" w:ascii="Times New Roman" w:hAnsi="Times New Roman" w:cs="Times New Roman"/>
                          <w:sz w:val="24"/>
                        </w:rPr>
                        <w:t>地址：</w:t>
                      </w:r>
                      <w:r>
                        <w:rPr>
                          <w:rFonts w:hint="default" w:ascii="Times New Roman" w:hAnsi="Times New Roman" w:cs="Times New Roman"/>
                          <w:sz w:val="24"/>
                          <w:u w:val="single"/>
                        </w:rPr>
                        <w:t xml:space="preserve">     沈阳市沈河区东陵路120号</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14:paraId="64BEE8DD">
                      <w:pPr>
                        <w:adjustRightInd w:val="0"/>
                        <w:snapToGrid w:val="0"/>
                        <w:rPr>
                          <w:rFonts w:hint="default" w:ascii="Times New Roman" w:hAnsi="Times New Roman" w:cs="Times New Roman"/>
                          <w:sz w:val="24"/>
                          <w:u w:val="single"/>
                        </w:rPr>
                      </w:pPr>
                    </w:p>
                    <w:p w14:paraId="315B2C3D">
                      <w:pPr>
                        <w:adjustRightInd w:val="0"/>
                        <w:snapToGrid w:val="0"/>
                        <w:rPr>
                          <w:rFonts w:hint="default" w:ascii="Times New Roman" w:hAnsi="Times New Roman" w:cs="Times New Roman"/>
                          <w:sz w:val="24"/>
                          <w:lang w:val="en-US"/>
                        </w:rPr>
                      </w:pPr>
                      <w:r>
                        <w:rPr>
                          <w:rFonts w:hint="default" w:ascii="Times New Roman" w:hAnsi="Times New Roman" w:cs="Times New Roman"/>
                          <w:bCs/>
                          <w:sz w:val="24"/>
                        </w:rPr>
                        <w:t>合同执行单位：</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eastAsia" w:cs="Times New Roman"/>
                          <w:sz w:val="24"/>
                          <w:u w:val="single"/>
                          <w:lang w:val="en-US" w:eastAsia="zh-CN"/>
                        </w:rPr>
                        <w:t xml:space="preserve">                   </w:t>
                      </w:r>
                    </w:p>
                    <w:p w14:paraId="734ED8EF">
                      <w:pPr>
                        <w:adjustRightInd w:val="0"/>
                        <w:snapToGrid w:val="0"/>
                        <w:rPr>
                          <w:rFonts w:hint="default" w:ascii="Times New Roman" w:hAnsi="Times New Roman" w:cs="Times New Roman"/>
                          <w:sz w:val="24"/>
                          <w:u w:val="single"/>
                        </w:rPr>
                      </w:pPr>
                    </w:p>
                    <w:p w14:paraId="51586382">
                      <w:pPr>
                        <w:adjustRightInd w:val="0"/>
                        <w:snapToGrid w:val="0"/>
                        <w:rPr>
                          <w:rFonts w:hint="default" w:ascii="Times New Roman" w:hAnsi="Times New Roman" w:cs="Times New Roman"/>
                          <w:sz w:val="24"/>
                          <w:u w:val="single"/>
                        </w:rPr>
                      </w:pPr>
                      <w:r>
                        <w:rPr>
                          <w:rFonts w:hint="default" w:ascii="Times New Roman" w:hAnsi="Times New Roman" w:cs="Times New Roman"/>
                          <w:sz w:val="24"/>
                        </w:rPr>
                        <w:t>合同执行联系人：</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14:paraId="02C9BDED">
                      <w:pPr>
                        <w:adjustRightInd w:val="0"/>
                        <w:snapToGrid w:val="0"/>
                        <w:rPr>
                          <w:rFonts w:hint="default" w:ascii="Times New Roman" w:hAnsi="Times New Roman" w:cs="Times New Roman"/>
                          <w:sz w:val="24"/>
                        </w:rPr>
                      </w:pPr>
                      <w:r>
                        <w:rPr>
                          <w:rFonts w:hint="default" w:ascii="Times New Roman" w:hAnsi="Times New Roman" w:cs="Times New Roman"/>
                          <w:sz w:val="24"/>
                        </w:rPr>
                        <w:t xml:space="preserve"> </w:t>
                      </w:r>
                    </w:p>
                    <w:p w14:paraId="29341932">
                      <w:pPr>
                        <w:adjustRightInd w:val="0"/>
                        <w:snapToGrid w:val="0"/>
                        <w:rPr>
                          <w:rFonts w:hint="default" w:ascii="Times New Roman" w:hAnsi="Times New Roman" w:cs="Times New Roman"/>
                          <w:sz w:val="24"/>
                          <w:u w:val="single"/>
                        </w:rPr>
                      </w:pPr>
                      <w:r>
                        <w:rPr>
                          <w:rFonts w:hint="default" w:ascii="Times New Roman" w:hAnsi="Times New Roman" w:cs="Times New Roman"/>
                          <w:sz w:val="24"/>
                        </w:rPr>
                        <w:t>手机</w:t>
                      </w:r>
                      <w:r>
                        <w:rPr>
                          <w:rFonts w:hint="default" w:ascii="Times New Roman" w:hAnsi="Times New Roman" w:cs="Times New Roman"/>
                          <w:bCs/>
                          <w:sz w:val="24"/>
                        </w:rPr>
                        <w:t>：</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eastAsia" w:cs="Times New Roman"/>
                          <w:sz w:val="24"/>
                          <w:u w:val="single"/>
                          <w:lang w:val="en-US" w:eastAsia="zh-CN"/>
                        </w:rPr>
                        <w:t xml:space="preserve">            </w:t>
                      </w:r>
                      <w:r>
                        <w:rPr>
                          <w:rFonts w:hint="default" w:ascii="Times New Roman" w:hAnsi="Times New Roman" w:cs="Times New Roman"/>
                          <w:sz w:val="24"/>
                          <w:u w:val="single"/>
                        </w:rPr>
                        <w:t xml:space="preserve">  </w:t>
                      </w:r>
                      <w:r>
                        <w:rPr>
                          <w:rFonts w:hint="default" w:ascii="Times New Roman" w:hAnsi="Times New Roman" w:cs="Times New Roman"/>
                          <w:sz w:val="24"/>
                          <w:u w:val="single"/>
                          <w:lang w:val="en-US" w:eastAsia="zh-CN"/>
                        </w:rPr>
                        <w:t xml:space="preserve">   </w:t>
                      </w:r>
                      <w:r>
                        <w:rPr>
                          <w:rFonts w:hint="default" w:ascii="Times New Roman" w:hAnsi="Times New Roman" w:cs="Times New Roman"/>
                          <w:sz w:val="24"/>
                          <w:u w:val="single"/>
                        </w:rPr>
                        <w:t xml:space="preserve">       </w:t>
                      </w:r>
                    </w:p>
                    <w:p w14:paraId="32B650D5">
                      <w:pPr>
                        <w:pStyle w:val="10"/>
                        <w:rPr>
                          <w:rFonts w:hint="default" w:hAnsi="Times New Roman" w:cs="Times New Roman"/>
                          <w:sz w:val="24"/>
                          <w:u w:val="none"/>
                          <w:lang w:val="en-US" w:eastAsia="zh-CN"/>
                        </w:rPr>
                      </w:pPr>
                      <w:r>
                        <w:rPr>
                          <w:rFonts w:hint="eastAsia" w:hAnsi="Times New Roman" w:cs="Times New Roman"/>
                          <w:sz w:val="24"/>
                          <w:u w:val="none"/>
                          <w:lang w:val="en-US" w:eastAsia="zh-CN"/>
                        </w:rPr>
                        <w:t>开户行：</w:t>
                      </w:r>
                      <w:r>
                        <w:rPr>
                          <w:rFonts w:hint="eastAsia" w:hAnsi="Times New Roman" w:cs="Times New Roman"/>
                          <w:sz w:val="24"/>
                          <w:u w:val="single"/>
                          <w:lang w:val="en-US" w:eastAsia="zh-CN"/>
                        </w:rPr>
                        <w:t xml:space="preserve">     中国银行沈阳大东支行      </w:t>
                      </w:r>
                    </w:p>
                    <w:p w14:paraId="1439E98F">
                      <w:pPr>
                        <w:pStyle w:val="10"/>
                        <w:rPr>
                          <w:rFonts w:hint="default" w:ascii="Times New Roman" w:hAnsi="Times New Roman" w:cs="Times New Roman"/>
                          <w:sz w:val="24"/>
                          <w:u w:val="single"/>
                          <w:lang w:val="en-US" w:eastAsia="zh-CN"/>
                        </w:rPr>
                      </w:pPr>
                      <w:r>
                        <w:rPr>
                          <w:rFonts w:hint="eastAsia" w:hAnsi="Times New Roman" w:cs="Times New Roman"/>
                          <w:sz w:val="24"/>
                          <w:u w:val="none"/>
                          <w:lang w:val="en-US" w:eastAsia="zh-CN"/>
                        </w:rPr>
                        <w:t>账号：</w:t>
                      </w:r>
                      <w:r>
                        <w:rPr>
                          <w:rFonts w:hint="eastAsia" w:hAnsi="Times New Roman" w:cs="Times New Roman"/>
                          <w:sz w:val="24"/>
                          <w:u w:val="single"/>
                          <w:lang w:val="en-US" w:eastAsia="zh-CN"/>
                        </w:rPr>
                        <w:t xml:space="preserve">       </w:t>
                      </w:r>
                      <w:r>
                        <w:rPr>
                          <w:rFonts w:hint="default" w:ascii="Times New Roman" w:hAnsi="Times New Roman" w:cs="Times New Roman"/>
                          <w:sz w:val="24"/>
                          <w:u w:val="single"/>
                          <w:lang w:val="en-US" w:eastAsia="zh-CN"/>
                        </w:rPr>
                        <w:t xml:space="preserve"> 2869 5632 9338         </w:t>
                      </w:r>
                      <w:r>
                        <w:rPr>
                          <w:rFonts w:hint="eastAsia" w:ascii="Times New Roman" w:hAnsi="Times New Roman" w:cs="Times New Roman"/>
                          <w:sz w:val="24"/>
                          <w:u w:val="single"/>
                          <w:lang w:val="en-US" w:eastAsia="zh-CN"/>
                        </w:rPr>
                        <w:t xml:space="preserve"> </w:t>
                      </w:r>
                      <w:r>
                        <w:rPr>
                          <w:rFonts w:hint="default" w:ascii="Times New Roman" w:hAnsi="Times New Roman" w:cs="Times New Roman"/>
                          <w:sz w:val="24"/>
                          <w:u w:val="single"/>
                          <w:lang w:val="en-US" w:eastAsia="zh-CN"/>
                        </w:rPr>
                        <w:t xml:space="preserve">  </w:t>
                      </w:r>
                    </w:p>
                    <w:p w14:paraId="692AE544">
                      <w:pPr>
                        <w:pStyle w:val="10"/>
                        <w:rPr>
                          <w:rFonts w:hint="default" w:ascii="Times New Roman" w:hAnsi="Times New Roman" w:eastAsia="宋体" w:cs="Times New Roman"/>
                          <w:kern w:val="2"/>
                          <w:position w:val="0"/>
                          <w:sz w:val="24"/>
                          <w:szCs w:val="24"/>
                          <w:u w:val="single"/>
                          <w:lang w:val="en-US" w:eastAsia="zh-CN" w:bidi="ar-SA"/>
                        </w:rPr>
                      </w:pPr>
                      <w:r>
                        <w:rPr>
                          <w:rFonts w:hint="default" w:ascii="Times New Roman" w:hAnsi="Times New Roman" w:eastAsia="宋体" w:cs="Times New Roman"/>
                          <w:kern w:val="2"/>
                          <w:position w:val="0"/>
                          <w:sz w:val="24"/>
                          <w:szCs w:val="24"/>
                          <w:u w:val="none"/>
                          <w:lang w:val="en-US" w:eastAsia="zh-CN" w:bidi="ar-SA"/>
                        </w:rPr>
                        <w:t>行号：</w:t>
                      </w:r>
                      <w:r>
                        <w:rPr>
                          <w:rFonts w:hint="default" w:ascii="Times New Roman" w:hAnsi="Times New Roman" w:eastAsia="宋体" w:cs="Times New Roman"/>
                          <w:kern w:val="2"/>
                          <w:position w:val="0"/>
                          <w:sz w:val="24"/>
                          <w:szCs w:val="24"/>
                          <w:u w:val="single"/>
                          <w:lang w:val="en-US" w:eastAsia="zh-CN" w:bidi="ar-SA"/>
                        </w:rPr>
                        <w:t xml:space="preserve">        104 221 014 010          </w:t>
                      </w:r>
                    </w:p>
                    <w:p w14:paraId="6D12470E">
                      <w:pPr>
                        <w:pStyle w:val="10"/>
                        <w:rPr>
                          <w:rFonts w:hint="default" w:ascii="Times New Roman" w:hAnsi="Times New Roman" w:eastAsia="宋体" w:cs="Times New Roman"/>
                          <w:kern w:val="2"/>
                          <w:position w:val="0"/>
                          <w:sz w:val="24"/>
                          <w:szCs w:val="24"/>
                          <w:u w:val="single"/>
                          <w:lang w:val="en-US" w:eastAsia="zh-CN" w:bidi="ar-SA"/>
                        </w:rPr>
                      </w:pPr>
                      <w:r>
                        <w:rPr>
                          <w:rFonts w:hint="default" w:ascii="Times New Roman" w:hAnsi="Times New Roman" w:eastAsia="宋体" w:cs="Times New Roman"/>
                          <w:kern w:val="2"/>
                          <w:position w:val="0"/>
                          <w:sz w:val="24"/>
                          <w:szCs w:val="24"/>
                          <w:u w:val="none"/>
                          <w:lang w:val="en-US" w:eastAsia="zh-CN" w:bidi="ar-SA"/>
                        </w:rPr>
                        <w:t>纳税人识别号：</w:t>
                      </w:r>
                      <w:r>
                        <w:rPr>
                          <w:rFonts w:hint="default" w:ascii="Times New Roman" w:hAnsi="Times New Roman" w:eastAsia="宋体" w:cs="Times New Roman"/>
                          <w:kern w:val="2"/>
                          <w:position w:val="0"/>
                          <w:sz w:val="24"/>
                          <w:szCs w:val="24"/>
                          <w:u w:val="single"/>
                          <w:lang w:val="en-US" w:eastAsia="zh-CN" w:bidi="ar-SA"/>
                        </w:rPr>
                        <w:t xml:space="preserve"> 1221 0000 4630 0657 2U  </w:t>
                      </w:r>
                    </w:p>
                  </w:txbxContent>
                </v:textbox>
              </v:shape>
            </w:pict>
          </mc:Fallback>
        </mc:AlternateContent>
      </w:r>
    </w:p>
    <w:p w14:paraId="564E63E0">
      <w:pPr>
        <w:jc w:val="right"/>
        <w:rPr>
          <w:rFonts w:hint="eastAsia" w:ascii="仿宋_GB2312" w:hAnsi="仿宋_GB2312" w:eastAsia="仿宋_GB2312" w:cs="仿宋_GB2312"/>
          <w:color w:val="auto"/>
          <w:sz w:val="24"/>
          <w:highlight w:val="none"/>
          <w:lang w:val="en-US" w:eastAsia="zh-CN"/>
        </w:rPr>
      </w:pPr>
    </w:p>
    <w:p w14:paraId="419E7488">
      <w:pPr>
        <w:jc w:val="right"/>
        <w:rPr>
          <w:rFonts w:hint="eastAsia" w:ascii="仿宋_GB2312" w:hAnsi="仿宋_GB2312" w:eastAsia="仿宋_GB2312" w:cs="仿宋_GB2312"/>
          <w:color w:val="auto"/>
          <w:sz w:val="24"/>
          <w:highlight w:val="none"/>
          <w:lang w:val="en-US" w:eastAsia="zh-CN"/>
        </w:rPr>
      </w:pPr>
    </w:p>
    <w:p w14:paraId="251D20A3">
      <w:pPr>
        <w:jc w:val="right"/>
        <w:rPr>
          <w:rFonts w:hint="eastAsia" w:ascii="仿宋_GB2312" w:hAnsi="仿宋_GB2312" w:eastAsia="仿宋_GB2312" w:cs="仿宋_GB2312"/>
          <w:color w:val="auto"/>
          <w:sz w:val="24"/>
          <w:highlight w:val="none"/>
          <w:lang w:val="en-US" w:eastAsia="zh-CN"/>
        </w:rPr>
      </w:pPr>
    </w:p>
    <w:p w14:paraId="0CEFE3C1">
      <w:pPr>
        <w:jc w:val="right"/>
        <w:rPr>
          <w:rFonts w:hint="eastAsia" w:ascii="仿宋_GB2312" w:hAnsi="仿宋_GB2312" w:eastAsia="仿宋_GB2312" w:cs="仿宋_GB2312"/>
          <w:color w:val="auto"/>
          <w:sz w:val="24"/>
          <w:highlight w:val="none"/>
          <w:lang w:val="en-US" w:eastAsia="zh-CN"/>
        </w:rPr>
      </w:pPr>
    </w:p>
    <w:p w14:paraId="59BD2AF2">
      <w:pPr>
        <w:jc w:val="right"/>
        <w:rPr>
          <w:rFonts w:hint="eastAsia" w:ascii="仿宋_GB2312" w:hAnsi="仿宋_GB2312" w:eastAsia="仿宋_GB2312" w:cs="仿宋_GB2312"/>
          <w:color w:val="auto"/>
          <w:sz w:val="24"/>
          <w:highlight w:val="none"/>
          <w:lang w:val="en-US" w:eastAsia="zh-CN"/>
        </w:rPr>
      </w:pPr>
    </w:p>
    <w:p w14:paraId="132B678A">
      <w:pPr>
        <w:jc w:val="right"/>
        <w:rPr>
          <w:rFonts w:hint="eastAsia" w:ascii="仿宋_GB2312" w:hAnsi="仿宋_GB2312" w:eastAsia="仿宋_GB2312" w:cs="仿宋_GB2312"/>
          <w:color w:val="auto"/>
          <w:sz w:val="24"/>
          <w:highlight w:val="none"/>
          <w:lang w:val="en-US" w:eastAsia="zh-CN"/>
        </w:rPr>
      </w:pPr>
    </w:p>
    <w:p w14:paraId="172A4F59">
      <w:pPr>
        <w:jc w:val="right"/>
        <w:rPr>
          <w:rFonts w:hint="eastAsia" w:ascii="仿宋_GB2312" w:hAnsi="仿宋_GB2312" w:eastAsia="仿宋_GB2312" w:cs="仿宋_GB2312"/>
          <w:color w:val="auto"/>
          <w:sz w:val="24"/>
          <w:highlight w:val="none"/>
          <w:lang w:val="en-US" w:eastAsia="zh-CN"/>
        </w:rPr>
      </w:pPr>
    </w:p>
    <w:p w14:paraId="0FD90F09">
      <w:pPr>
        <w:jc w:val="right"/>
        <w:rPr>
          <w:rFonts w:hint="eastAsia" w:ascii="仿宋_GB2312" w:hAnsi="仿宋_GB2312" w:eastAsia="仿宋_GB2312" w:cs="仿宋_GB2312"/>
          <w:color w:val="auto"/>
          <w:sz w:val="24"/>
          <w:highlight w:val="none"/>
          <w:lang w:val="en-US" w:eastAsia="zh-CN"/>
        </w:rPr>
      </w:pPr>
    </w:p>
    <w:p w14:paraId="0612DB0B">
      <w:pPr>
        <w:jc w:val="right"/>
        <w:rPr>
          <w:rFonts w:hint="eastAsia" w:ascii="仿宋_GB2312" w:hAnsi="仿宋_GB2312" w:eastAsia="仿宋_GB2312" w:cs="仿宋_GB2312"/>
          <w:color w:val="auto"/>
          <w:sz w:val="24"/>
          <w:highlight w:val="none"/>
          <w:lang w:val="en-US" w:eastAsia="zh-CN"/>
        </w:rPr>
      </w:pPr>
    </w:p>
    <w:p w14:paraId="3BAAE563">
      <w:pPr>
        <w:jc w:val="right"/>
        <w:rPr>
          <w:rFonts w:hint="eastAsia" w:ascii="仿宋_GB2312" w:hAnsi="仿宋_GB2312" w:eastAsia="仿宋_GB2312" w:cs="仿宋_GB2312"/>
          <w:color w:val="auto"/>
          <w:sz w:val="24"/>
          <w:highlight w:val="none"/>
          <w:lang w:val="en-US" w:eastAsia="zh-CN"/>
        </w:rPr>
      </w:pPr>
    </w:p>
    <w:p w14:paraId="366A466A">
      <w:pPr>
        <w:jc w:val="right"/>
        <w:rPr>
          <w:rFonts w:hint="eastAsia" w:ascii="仿宋_GB2312" w:hAnsi="仿宋_GB2312" w:eastAsia="仿宋_GB2312" w:cs="仿宋_GB2312"/>
          <w:color w:val="auto"/>
          <w:sz w:val="24"/>
          <w:highlight w:val="none"/>
          <w:lang w:val="en-US" w:eastAsia="zh-CN"/>
        </w:rPr>
      </w:pPr>
    </w:p>
    <w:p w14:paraId="6FD398BD">
      <w:pPr>
        <w:jc w:val="right"/>
        <w:rPr>
          <w:rFonts w:hint="eastAsia" w:ascii="仿宋_GB2312" w:hAnsi="仿宋_GB2312" w:eastAsia="仿宋_GB2312" w:cs="仿宋_GB2312"/>
          <w:color w:val="auto"/>
          <w:sz w:val="24"/>
          <w:highlight w:val="none"/>
          <w:lang w:val="en-US" w:eastAsia="zh-CN"/>
        </w:rPr>
      </w:pPr>
    </w:p>
    <w:p w14:paraId="554A19E1">
      <w:pPr>
        <w:jc w:val="right"/>
        <w:rPr>
          <w:rFonts w:hint="eastAsia" w:ascii="仿宋_GB2312" w:hAnsi="仿宋_GB2312" w:eastAsia="仿宋_GB2312" w:cs="仿宋_GB2312"/>
          <w:color w:val="auto"/>
          <w:sz w:val="24"/>
          <w:highlight w:val="none"/>
          <w:lang w:val="en-US" w:eastAsia="zh-CN"/>
        </w:rPr>
      </w:pPr>
    </w:p>
    <w:p w14:paraId="24F59B79">
      <w:pPr>
        <w:jc w:val="right"/>
        <w:rPr>
          <w:rFonts w:hint="eastAsia" w:ascii="仿宋_GB2312" w:hAnsi="仿宋_GB2312" w:eastAsia="仿宋_GB2312" w:cs="仿宋_GB2312"/>
          <w:color w:val="auto"/>
          <w:sz w:val="24"/>
          <w:highlight w:val="none"/>
          <w:lang w:val="en-US" w:eastAsia="zh-CN"/>
        </w:rPr>
      </w:pPr>
    </w:p>
    <w:p w14:paraId="1D147E90">
      <w:pPr>
        <w:jc w:val="right"/>
        <w:rPr>
          <w:rFonts w:hint="eastAsia" w:ascii="仿宋_GB2312" w:hAnsi="仿宋_GB2312" w:eastAsia="仿宋_GB2312" w:cs="仿宋_GB2312"/>
          <w:color w:val="auto"/>
          <w:sz w:val="24"/>
          <w:highlight w:val="none"/>
          <w:lang w:val="en-US" w:eastAsia="zh-CN"/>
        </w:rPr>
      </w:pPr>
    </w:p>
    <w:p w14:paraId="519A7385">
      <w:pPr>
        <w:jc w:val="right"/>
        <w:rPr>
          <w:rFonts w:hint="eastAsia" w:ascii="仿宋_GB2312" w:hAnsi="仿宋_GB2312" w:eastAsia="仿宋_GB2312" w:cs="仿宋_GB2312"/>
          <w:color w:val="auto"/>
          <w:sz w:val="24"/>
          <w:highlight w:val="none"/>
          <w:lang w:val="en-US" w:eastAsia="zh-CN"/>
        </w:rPr>
      </w:pPr>
    </w:p>
    <w:p w14:paraId="046CAAD5">
      <w:pPr>
        <w:jc w:val="right"/>
        <w:rPr>
          <w:rFonts w:hint="eastAsia" w:ascii="仿宋_GB2312" w:hAnsi="仿宋_GB2312" w:eastAsia="仿宋_GB2312" w:cs="仿宋_GB2312"/>
          <w:color w:val="auto"/>
          <w:sz w:val="24"/>
          <w:highlight w:val="none"/>
          <w:lang w:val="en-US" w:eastAsia="zh-CN"/>
        </w:rPr>
      </w:pPr>
    </w:p>
    <w:p w14:paraId="1D10DD3C">
      <w:pPr>
        <w:jc w:val="right"/>
        <w:rPr>
          <w:rFonts w:hint="eastAsia" w:ascii="仿宋_GB2312" w:hAnsi="仿宋_GB2312" w:eastAsia="仿宋_GB2312" w:cs="仿宋_GB2312"/>
          <w:color w:val="auto"/>
          <w:sz w:val="24"/>
          <w:highlight w:val="none"/>
          <w:lang w:val="en-US" w:eastAsia="zh-CN"/>
        </w:rPr>
      </w:pPr>
    </w:p>
    <w:p w14:paraId="7CC9013D">
      <w:pPr>
        <w:jc w:val="right"/>
        <w:rPr>
          <w:rFonts w:hint="eastAsia" w:ascii="仿宋_GB2312" w:hAnsi="仿宋_GB2312" w:eastAsia="仿宋_GB2312" w:cs="仿宋_GB2312"/>
          <w:color w:val="auto"/>
          <w:sz w:val="24"/>
          <w:highlight w:val="none"/>
          <w:lang w:val="en-US" w:eastAsia="zh-CN"/>
        </w:rPr>
      </w:pPr>
    </w:p>
    <w:p w14:paraId="245A8C82">
      <w:pPr>
        <w:jc w:val="right"/>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lang w:val="en-US" w:eastAsia="zh-CN"/>
        </w:rPr>
        <w:t>合同签订日期：2024年    月    日</w:t>
      </w:r>
    </w:p>
    <w:p w14:paraId="00D10DC0">
      <w:pPr>
        <w:rPr>
          <w:rFonts w:hint="eastAsia" w:ascii="仿宋_GB2312" w:hAnsi="仿宋_GB2312" w:eastAsia="仿宋_GB2312" w:cs="仿宋_GB2312"/>
          <w:color w:val="auto"/>
          <w:highlight w:val="none"/>
        </w:rPr>
      </w:pPr>
    </w:p>
    <w:sectPr>
      <w:pgSz w:w="11906" w:h="16838"/>
      <w:pgMar w:top="1468" w:right="1803" w:bottom="1418" w:left="1803" w:header="851" w:footer="899" w:gutter="0"/>
      <w:pgBorders>
        <w:top w:val="none" w:sz="0" w:space="0"/>
        <w:left w:val="none" w:sz="0" w:space="0"/>
        <w:bottom w:val="none" w:sz="0" w:space="0"/>
        <w:right w:val="none" w:sz="0" w:space="0"/>
      </w:pgBorders>
      <w:cols w:space="72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Bookman Old Style">
    <w:panose1 w:val="02050604050505020204"/>
    <w:charset w:val="00"/>
    <w:family w:val="roman"/>
    <w:pitch w:val="default"/>
    <w:sig w:usb0="00000287" w:usb1="00000000" w:usb2="00000000" w:usb3="00000000" w:csb0="2000009F" w:csb1="DFD7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2D9C5">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26F0C">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188A42">
                          <w:pPr>
                            <w:pStyle w:val="15"/>
                          </w:pPr>
                          <w:r>
                            <w:fldChar w:fldCharType="begin"/>
                          </w:r>
                          <w:r>
                            <w:instrText xml:space="preserve"> PAGE  \* MERGEFORMAT </w:instrText>
                          </w:r>
                          <w:r>
                            <w:fldChar w:fldCharType="separate"/>
                          </w:r>
                          <w:r>
                            <w:t>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14:paraId="5C188A42">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9349B">
    <w:pPr>
      <w:pStyle w:val="15"/>
      <w:jc w:val="center"/>
    </w:pPr>
    <w:r>
      <w:drawing>
        <wp:anchor distT="0" distB="0" distL="114300" distR="114300" simplePos="0" relativeHeight="251659264" behindDoc="0" locked="0" layoutInCell="1" allowOverlap="1">
          <wp:simplePos x="0" y="0"/>
          <wp:positionH relativeFrom="margin">
            <wp:posOffset>60325</wp:posOffset>
          </wp:positionH>
          <wp:positionV relativeFrom="margin">
            <wp:posOffset>8985885</wp:posOffset>
          </wp:positionV>
          <wp:extent cx="1291590" cy="297815"/>
          <wp:effectExtent l="0" t="0" r="3810" b="6985"/>
          <wp:wrapSquare wrapText="bothSides"/>
          <wp:docPr id="3" name="图片 1" descr="4d4c1e332dcbbeb2042e2395d655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4d4c1e332dcbbeb2042e2395d655406"/>
                  <pic:cNvPicPr>
                    <a:picLocks noChangeAspect="1"/>
                  </pic:cNvPicPr>
                </pic:nvPicPr>
                <pic:blipFill>
                  <a:blip r:embed="rId1"/>
                  <a:stretch>
                    <a:fillRect/>
                  </a:stretch>
                </pic:blipFill>
                <pic:spPr>
                  <a:xfrm>
                    <a:off x="0" y="0"/>
                    <a:ext cx="1291590" cy="297815"/>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89C150">
                          <w:pPr>
                            <w:pStyle w:val="15"/>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5689C150">
                    <w:pPr>
                      <w:pStyle w:val="15"/>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DCBBD">
    <w:pPr>
      <w:pStyle w:val="16"/>
      <w:pBdr>
        <w:left w:val="none" w:color="auto" w:sz="0" w:space="0"/>
      </w:pBdr>
      <w:jc w:val="left"/>
      <w:rPr>
        <w:rFonts w:ascii="仿宋_GB2312" w:eastAsia="仿宋_GB2312"/>
        <w:sz w:val="21"/>
        <w:szCs w:val="21"/>
        <w:u w:val="single"/>
      </w:rPr>
    </w:pPr>
    <w:r>
      <w:rPr>
        <w:rFonts w:hint="eastAsia" w:ascii="仿宋_GB2312" w:hAnsi="仿宋" w:eastAsia="仿宋_GB2312" w:cs="仿宋_GB2312"/>
        <w:bCs/>
        <w:sz w:val="21"/>
        <w:szCs w:val="21"/>
        <w:u w:val="single"/>
      </w:rPr>
      <w:t xml:space="preserve">辽宁大学数字经济智能实验室设备采购      </w:t>
    </w:r>
    <w:r>
      <w:rPr>
        <w:rFonts w:hint="eastAsia" w:ascii="仿宋_GB2312" w:eastAsia="仿宋_GB2312"/>
        <w:sz w:val="21"/>
        <w:szCs w:val="21"/>
        <w:u w:val="single"/>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A13B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F672E">
    <w:pPr>
      <w:pStyle w:val="16"/>
      <w:jc w:val="left"/>
      <w:rPr>
        <w:rFonts w:ascii="仿宋_GB2312" w:eastAsia="仿宋_GB2312"/>
        <w:spacing w:val="-11"/>
        <w:sz w:val="21"/>
        <w:szCs w:val="21"/>
        <w:u w:val="single"/>
      </w:rPr>
    </w:pPr>
    <w:r>
      <w:rPr>
        <w:rFonts w:hint="eastAsia" w:ascii="仿宋_GB2312" w:eastAsia="仿宋_GB2312"/>
        <w:spacing w:val="-11"/>
        <w:sz w:val="21"/>
        <w:szCs w:val="21"/>
        <w:u w:val="single"/>
        <w:lang w:eastAsia="zh-CN"/>
      </w:rPr>
      <w:t>（ZCC）沈阳农业大学外语四六级口语考试平台采购建设项目</w:t>
    </w:r>
    <w:r>
      <w:rPr>
        <w:rFonts w:hint="eastAsia" w:ascii="仿宋_GB2312" w:eastAsia="仿宋_GB2312"/>
        <w:spacing w:val="-11"/>
        <w:sz w:val="21"/>
        <w:szCs w:val="21"/>
        <w:u w:val="single"/>
      </w:rPr>
      <w:t xml:space="preserve">      </w:t>
    </w:r>
    <w:r>
      <w:rPr>
        <w:rFonts w:hint="eastAsia" w:ascii="仿宋_GB2312" w:eastAsia="仿宋_GB2312"/>
        <w:spacing w:val="-11"/>
        <w:sz w:val="21"/>
        <w:szCs w:val="21"/>
        <w:u w:val="single"/>
        <w:lang w:val="en-US" w:eastAsia="zh-CN"/>
      </w:rPr>
      <w:t xml:space="preserve">                      </w:t>
    </w:r>
    <w:r>
      <w:rPr>
        <w:rFonts w:hint="eastAsia" w:ascii="仿宋_GB2312" w:eastAsia="仿宋_GB2312"/>
        <w:spacing w:val="-11"/>
        <w:sz w:val="21"/>
        <w:szCs w:val="21"/>
        <w:u w:val="single"/>
      </w:rPr>
      <w:t xml:space="preserve"> </w:t>
    </w:r>
    <w:r>
      <w:rPr>
        <w:rFonts w:hint="eastAsia" w:ascii="仿宋_GB2312" w:eastAsia="仿宋_GB2312"/>
        <w:spacing w:val="-11"/>
        <w:sz w:val="21"/>
        <w:szCs w:val="21"/>
        <w:u w:val="single"/>
        <w:lang w:val="en-US" w:eastAsia="zh-CN"/>
      </w:rPr>
      <w:t xml:space="preserve"> </w:t>
    </w:r>
    <w:r>
      <w:rPr>
        <w:rFonts w:hint="eastAsia" w:ascii="仿宋_GB2312" w:eastAsia="仿宋_GB2312"/>
        <w:spacing w:val="-11"/>
        <w:sz w:val="21"/>
        <w:szCs w:val="21"/>
        <w:u w:val="single"/>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82CC7">
    <w:pPr>
      <w:pStyle w:val="16"/>
      <w:jc w:val="left"/>
      <w:rPr>
        <w:rFonts w:ascii="仿宋_GB2312" w:eastAsia="仿宋_GB2312"/>
        <w:spacing w:val="-11"/>
        <w:sz w:val="21"/>
        <w:szCs w:val="21"/>
        <w:u w:val="single"/>
      </w:rPr>
    </w:pPr>
    <w:r>
      <w:rPr>
        <w:rFonts w:hint="eastAsia" w:ascii="仿宋_GB2312" w:eastAsia="仿宋_GB2312"/>
        <w:spacing w:val="-11"/>
        <w:sz w:val="21"/>
        <w:szCs w:val="21"/>
        <w:u w:val="single"/>
        <w:lang w:eastAsia="zh-CN"/>
      </w:rPr>
      <w:t>（ZCC）沈阳农业大学外语四六级口语考试平台采购建设项目</w:t>
    </w:r>
    <w:r>
      <w:rPr>
        <w:rFonts w:hint="eastAsia" w:ascii="仿宋_GB2312" w:eastAsia="仿宋_GB2312"/>
        <w:spacing w:val="-11"/>
        <w:sz w:val="21"/>
        <w:szCs w:val="21"/>
        <w:u w:val="single"/>
      </w:rPr>
      <w:t xml:space="preserve">      </w:t>
    </w:r>
    <w:r>
      <w:rPr>
        <w:rFonts w:hint="eastAsia" w:ascii="仿宋_GB2312" w:eastAsia="仿宋_GB2312"/>
        <w:spacing w:val="-11"/>
        <w:sz w:val="21"/>
        <w:szCs w:val="21"/>
        <w:u w:val="single"/>
        <w:lang w:val="en-US" w:eastAsia="zh-CN"/>
      </w:rPr>
      <w:t xml:space="preserve">                                                                                         </w:t>
    </w:r>
    <w:r>
      <w:rPr>
        <w:rFonts w:hint="eastAsia" w:ascii="仿宋_GB2312" w:eastAsia="仿宋_GB2312"/>
        <w:spacing w:val="-11"/>
        <w:sz w:val="21"/>
        <w:szCs w:val="21"/>
        <w:u w:val="single"/>
      </w:rPr>
      <w:t xml:space="preserve"> </w:t>
    </w:r>
    <w:r>
      <w:rPr>
        <w:rFonts w:hint="eastAsia" w:ascii="仿宋_GB2312" w:eastAsia="仿宋_GB2312"/>
        <w:spacing w:val="-11"/>
        <w:sz w:val="21"/>
        <w:szCs w:val="21"/>
        <w:u w:val="single"/>
        <w:lang w:val="en-US" w:eastAsia="zh-CN"/>
      </w:rPr>
      <w:t xml:space="preserve"> </w:t>
    </w:r>
    <w:r>
      <w:rPr>
        <w:rFonts w:hint="eastAsia" w:ascii="仿宋_GB2312" w:eastAsia="仿宋_GB2312"/>
        <w:spacing w:val="-11"/>
        <w:sz w:val="21"/>
        <w:szCs w:val="21"/>
        <w:u w:val="single"/>
      </w:rPr>
      <w:t xml:space="preserve">  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06333">
    <w:pPr>
      <w:pStyle w:val="16"/>
      <w:jc w:val="left"/>
      <w:rPr>
        <w:rFonts w:ascii="仿宋_GB2312" w:eastAsia="仿宋_GB2312"/>
        <w:spacing w:val="-11"/>
        <w:sz w:val="21"/>
        <w:szCs w:val="21"/>
        <w:u w:val="single"/>
      </w:rPr>
    </w:pPr>
    <w:r>
      <w:rPr>
        <w:rFonts w:hint="eastAsia" w:ascii="仿宋_GB2312" w:eastAsia="仿宋_GB2312"/>
        <w:spacing w:val="-11"/>
        <w:sz w:val="21"/>
        <w:szCs w:val="21"/>
        <w:u w:val="single"/>
        <w:lang w:eastAsia="zh-CN"/>
      </w:rPr>
      <w:t>（ZCC）沈阳农业大学外语四六级口语考试平台采购建设项目</w:t>
    </w:r>
    <w:r>
      <w:rPr>
        <w:rFonts w:hint="eastAsia" w:ascii="仿宋_GB2312" w:eastAsia="仿宋_GB2312"/>
        <w:spacing w:val="-11"/>
        <w:sz w:val="21"/>
        <w:szCs w:val="21"/>
        <w:u w:val="single"/>
      </w:rPr>
      <w:t xml:space="preserve">      </w:t>
    </w:r>
    <w:r>
      <w:rPr>
        <w:rFonts w:hint="eastAsia" w:ascii="仿宋_GB2312" w:eastAsia="仿宋_GB2312"/>
        <w:spacing w:val="-11"/>
        <w:sz w:val="21"/>
        <w:szCs w:val="21"/>
        <w:u w:val="single"/>
        <w:lang w:val="en-US" w:eastAsia="zh-CN"/>
      </w:rPr>
      <w:t xml:space="preserve">                      </w:t>
    </w:r>
    <w:r>
      <w:rPr>
        <w:rFonts w:hint="eastAsia" w:ascii="仿宋_GB2312" w:eastAsia="仿宋_GB2312"/>
        <w:spacing w:val="-11"/>
        <w:sz w:val="21"/>
        <w:szCs w:val="21"/>
        <w:u w:val="single"/>
      </w:rPr>
      <w:t xml:space="preserve"> </w:t>
    </w:r>
    <w:r>
      <w:rPr>
        <w:rFonts w:hint="eastAsia" w:ascii="仿宋_GB2312" w:eastAsia="仿宋_GB2312"/>
        <w:spacing w:val="-11"/>
        <w:sz w:val="21"/>
        <w:szCs w:val="21"/>
        <w:u w:val="single"/>
        <w:lang w:val="en-US" w:eastAsia="zh-CN"/>
      </w:rPr>
      <w:t xml:space="preserve"> </w:t>
    </w:r>
    <w:r>
      <w:rPr>
        <w:rFonts w:hint="eastAsia" w:ascii="仿宋_GB2312" w:eastAsia="仿宋_GB2312"/>
        <w:spacing w:val="-11"/>
        <w:sz w:val="21"/>
        <w:szCs w:val="21"/>
        <w:u w:val="single"/>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DF470"/>
    <w:multiLevelType w:val="singleLevel"/>
    <w:tmpl w:val="B4FDF470"/>
    <w:lvl w:ilvl="0" w:tentative="0">
      <w:start w:val="1"/>
      <w:numFmt w:val="decimal"/>
      <w:suff w:val="nothing"/>
      <w:lvlText w:val="（%1）"/>
      <w:lvlJc w:val="left"/>
    </w:lvl>
  </w:abstractNum>
  <w:abstractNum w:abstractNumId="1">
    <w:nsid w:val="B9A1E8D1"/>
    <w:multiLevelType w:val="singleLevel"/>
    <w:tmpl w:val="B9A1E8D1"/>
    <w:lvl w:ilvl="0" w:tentative="0">
      <w:start w:val="1"/>
      <w:numFmt w:val="decimal"/>
      <w:suff w:val="nothing"/>
      <w:lvlText w:val="（%1）"/>
      <w:lvlJc w:val="left"/>
    </w:lvl>
  </w:abstractNum>
  <w:abstractNum w:abstractNumId="2">
    <w:nsid w:val="27E8E525"/>
    <w:multiLevelType w:val="singleLevel"/>
    <w:tmpl w:val="27E8E525"/>
    <w:lvl w:ilvl="0" w:tentative="0">
      <w:start w:val="1"/>
      <w:numFmt w:val="decimal"/>
      <w:suff w:val="nothing"/>
      <w:lvlText w:val="（%1）"/>
      <w:lvlJc w:val="left"/>
    </w:lvl>
  </w:abstractNum>
  <w:abstractNum w:abstractNumId="3">
    <w:nsid w:val="420C153B"/>
    <w:multiLevelType w:val="multilevel"/>
    <w:tmpl w:val="420C153B"/>
    <w:lvl w:ilvl="0" w:tentative="0">
      <w:start w:val="1"/>
      <w:numFmt w:val="decimal"/>
      <w:pStyle w:val="53"/>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3MmE4MDVhNjNjZDBkMmViZjI5YmIzN2EzOWVmMTEifQ=="/>
    <w:docVar w:name="KSO_WPS_MARK_KEY" w:val="5d0bbac2-f58e-4940-ad86-9741303097e3"/>
  </w:docVars>
  <w:rsids>
    <w:rsidRoot w:val="35AB3B2B"/>
    <w:rsid w:val="00001D20"/>
    <w:rsid w:val="00004125"/>
    <w:rsid w:val="00005402"/>
    <w:rsid w:val="0000641B"/>
    <w:rsid w:val="00007440"/>
    <w:rsid w:val="0001113B"/>
    <w:rsid w:val="0001139C"/>
    <w:rsid w:val="0001159B"/>
    <w:rsid w:val="00013654"/>
    <w:rsid w:val="00017AF4"/>
    <w:rsid w:val="0002011C"/>
    <w:rsid w:val="00022EBF"/>
    <w:rsid w:val="000233D8"/>
    <w:rsid w:val="00023B01"/>
    <w:rsid w:val="00024251"/>
    <w:rsid w:val="00026932"/>
    <w:rsid w:val="00030162"/>
    <w:rsid w:val="0003037F"/>
    <w:rsid w:val="00031896"/>
    <w:rsid w:val="000341B1"/>
    <w:rsid w:val="00034C0E"/>
    <w:rsid w:val="000355FB"/>
    <w:rsid w:val="000375BC"/>
    <w:rsid w:val="000410E2"/>
    <w:rsid w:val="00042C33"/>
    <w:rsid w:val="000435F9"/>
    <w:rsid w:val="000450F2"/>
    <w:rsid w:val="000469CA"/>
    <w:rsid w:val="0005082B"/>
    <w:rsid w:val="00051172"/>
    <w:rsid w:val="000566C3"/>
    <w:rsid w:val="00056F1E"/>
    <w:rsid w:val="000577D5"/>
    <w:rsid w:val="00057CD8"/>
    <w:rsid w:val="0006186F"/>
    <w:rsid w:val="0006255E"/>
    <w:rsid w:val="00062FCE"/>
    <w:rsid w:val="000643F6"/>
    <w:rsid w:val="00066EBC"/>
    <w:rsid w:val="000700FA"/>
    <w:rsid w:val="00070A26"/>
    <w:rsid w:val="000730A7"/>
    <w:rsid w:val="000733BA"/>
    <w:rsid w:val="00074508"/>
    <w:rsid w:val="000749E3"/>
    <w:rsid w:val="0007606C"/>
    <w:rsid w:val="00076791"/>
    <w:rsid w:val="00080F44"/>
    <w:rsid w:val="000841BF"/>
    <w:rsid w:val="00084D3F"/>
    <w:rsid w:val="000860D4"/>
    <w:rsid w:val="0009236C"/>
    <w:rsid w:val="00092509"/>
    <w:rsid w:val="00092BC6"/>
    <w:rsid w:val="000942B7"/>
    <w:rsid w:val="0009495A"/>
    <w:rsid w:val="00095530"/>
    <w:rsid w:val="00095F2E"/>
    <w:rsid w:val="00096996"/>
    <w:rsid w:val="0009792E"/>
    <w:rsid w:val="000A070F"/>
    <w:rsid w:val="000A61C2"/>
    <w:rsid w:val="000A63CD"/>
    <w:rsid w:val="000A63D7"/>
    <w:rsid w:val="000A6851"/>
    <w:rsid w:val="000A696E"/>
    <w:rsid w:val="000B09EB"/>
    <w:rsid w:val="000B39BF"/>
    <w:rsid w:val="000B6BAB"/>
    <w:rsid w:val="000B6FF4"/>
    <w:rsid w:val="000B7AAB"/>
    <w:rsid w:val="000C0419"/>
    <w:rsid w:val="000C2EC2"/>
    <w:rsid w:val="000C3A16"/>
    <w:rsid w:val="000C45C0"/>
    <w:rsid w:val="000C5045"/>
    <w:rsid w:val="000D033D"/>
    <w:rsid w:val="000D1A20"/>
    <w:rsid w:val="000D1B81"/>
    <w:rsid w:val="000D212E"/>
    <w:rsid w:val="000D2859"/>
    <w:rsid w:val="000D3269"/>
    <w:rsid w:val="000D3D1C"/>
    <w:rsid w:val="000D451C"/>
    <w:rsid w:val="000D5885"/>
    <w:rsid w:val="000D5F9E"/>
    <w:rsid w:val="000D7AE4"/>
    <w:rsid w:val="000D7F39"/>
    <w:rsid w:val="000E0E24"/>
    <w:rsid w:val="000E1032"/>
    <w:rsid w:val="000E2E67"/>
    <w:rsid w:val="000E3FC3"/>
    <w:rsid w:val="000E663A"/>
    <w:rsid w:val="000E6939"/>
    <w:rsid w:val="000F0A3D"/>
    <w:rsid w:val="000F2F64"/>
    <w:rsid w:val="000F3AB4"/>
    <w:rsid w:val="000F3F91"/>
    <w:rsid w:val="000F4689"/>
    <w:rsid w:val="000F581E"/>
    <w:rsid w:val="000F5F68"/>
    <w:rsid w:val="001006F2"/>
    <w:rsid w:val="00102A03"/>
    <w:rsid w:val="00102FDC"/>
    <w:rsid w:val="001044F8"/>
    <w:rsid w:val="001107FB"/>
    <w:rsid w:val="00110B4F"/>
    <w:rsid w:val="00110EED"/>
    <w:rsid w:val="001113BD"/>
    <w:rsid w:val="00112D2F"/>
    <w:rsid w:val="00115A69"/>
    <w:rsid w:val="0011622C"/>
    <w:rsid w:val="00120015"/>
    <w:rsid w:val="001204EC"/>
    <w:rsid w:val="00120DBC"/>
    <w:rsid w:val="00121B70"/>
    <w:rsid w:val="00122521"/>
    <w:rsid w:val="0012282A"/>
    <w:rsid w:val="00123F7B"/>
    <w:rsid w:val="001246B7"/>
    <w:rsid w:val="00124970"/>
    <w:rsid w:val="00124CBD"/>
    <w:rsid w:val="00125079"/>
    <w:rsid w:val="00130A05"/>
    <w:rsid w:val="00132D1A"/>
    <w:rsid w:val="00133D35"/>
    <w:rsid w:val="0013490A"/>
    <w:rsid w:val="00135997"/>
    <w:rsid w:val="00136783"/>
    <w:rsid w:val="00137913"/>
    <w:rsid w:val="00140CC1"/>
    <w:rsid w:val="001412F2"/>
    <w:rsid w:val="00142344"/>
    <w:rsid w:val="00144CB4"/>
    <w:rsid w:val="00145835"/>
    <w:rsid w:val="00147B06"/>
    <w:rsid w:val="00147FE4"/>
    <w:rsid w:val="00151E92"/>
    <w:rsid w:val="00152B8D"/>
    <w:rsid w:val="00153E3D"/>
    <w:rsid w:val="00154272"/>
    <w:rsid w:val="00154309"/>
    <w:rsid w:val="00154B67"/>
    <w:rsid w:val="0015588C"/>
    <w:rsid w:val="0015718D"/>
    <w:rsid w:val="00160683"/>
    <w:rsid w:val="00161753"/>
    <w:rsid w:val="00163B9A"/>
    <w:rsid w:val="00164EFB"/>
    <w:rsid w:val="001655B2"/>
    <w:rsid w:val="00166548"/>
    <w:rsid w:val="00167CB8"/>
    <w:rsid w:val="00170000"/>
    <w:rsid w:val="001711BB"/>
    <w:rsid w:val="00171212"/>
    <w:rsid w:val="00171502"/>
    <w:rsid w:val="00172E78"/>
    <w:rsid w:val="00173CFE"/>
    <w:rsid w:val="0017403B"/>
    <w:rsid w:val="001776AF"/>
    <w:rsid w:val="001818FB"/>
    <w:rsid w:val="0018274C"/>
    <w:rsid w:val="00183CBA"/>
    <w:rsid w:val="00184549"/>
    <w:rsid w:val="00184D5C"/>
    <w:rsid w:val="00185488"/>
    <w:rsid w:val="001872B6"/>
    <w:rsid w:val="00190485"/>
    <w:rsid w:val="00192677"/>
    <w:rsid w:val="00195A3B"/>
    <w:rsid w:val="00197881"/>
    <w:rsid w:val="001A10E9"/>
    <w:rsid w:val="001A2968"/>
    <w:rsid w:val="001A2FB9"/>
    <w:rsid w:val="001A4739"/>
    <w:rsid w:val="001A4EC7"/>
    <w:rsid w:val="001A64C4"/>
    <w:rsid w:val="001B00F8"/>
    <w:rsid w:val="001B28CD"/>
    <w:rsid w:val="001B2A86"/>
    <w:rsid w:val="001B5104"/>
    <w:rsid w:val="001B63CD"/>
    <w:rsid w:val="001B7DAE"/>
    <w:rsid w:val="001C00CE"/>
    <w:rsid w:val="001C3207"/>
    <w:rsid w:val="001C39C9"/>
    <w:rsid w:val="001C4569"/>
    <w:rsid w:val="001C5A45"/>
    <w:rsid w:val="001C5F86"/>
    <w:rsid w:val="001C6199"/>
    <w:rsid w:val="001C7210"/>
    <w:rsid w:val="001D0C9A"/>
    <w:rsid w:val="001D34B8"/>
    <w:rsid w:val="001D4BED"/>
    <w:rsid w:val="001D6499"/>
    <w:rsid w:val="001E1D36"/>
    <w:rsid w:val="001E32C3"/>
    <w:rsid w:val="001E340C"/>
    <w:rsid w:val="001E4478"/>
    <w:rsid w:val="001E5672"/>
    <w:rsid w:val="001E5F36"/>
    <w:rsid w:val="001E69F3"/>
    <w:rsid w:val="001F2B1F"/>
    <w:rsid w:val="001F58B7"/>
    <w:rsid w:val="001F5DE3"/>
    <w:rsid w:val="001F6948"/>
    <w:rsid w:val="00201D14"/>
    <w:rsid w:val="00203227"/>
    <w:rsid w:val="00213BF7"/>
    <w:rsid w:val="00214FB4"/>
    <w:rsid w:val="00215411"/>
    <w:rsid w:val="00216673"/>
    <w:rsid w:val="00216F25"/>
    <w:rsid w:val="002178BF"/>
    <w:rsid w:val="002205E8"/>
    <w:rsid w:val="002220C1"/>
    <w:rsid w:val="00223C9B"/>
    <w:rsid w:val="0022447E"/>
    <w:rsid w:val="00224745"/>
    <w:rsid w:val="00225FD2"/>
    <w:rsid w:val="00231E22"/>
    <w:rsid w:val="0023246A"/>
    <w:rsid w:val="0023398D"/>
    <w:rsid w:val="0023442D"/>
    <w:rsid w:val="0023694D"/>
    <w:rsid w:val="0023697B"/>
    <w:rsid w:val="00237426"/>
    <w:rsid w:val="00237843"/>
    <w:rsid w:val="002439C3"/>
    <w:rsid w:val="00244B20"/>
    <w:rsid w:val="00245DB0"/>
    <w:rsid w:val="00246D69"/>
    <w:rsid w:val="00247506"/>
    <w:rsid w:val="00250B65"/>
    <w:rsid w:val="00254120"/>
    <w:rsid w:val="002545AB"/>
    <w:rsid w:val="00254A05"/>
    <w:rsid w:val="00255C96"/>
    <w:rsid w:val="0025692F"/>
    <w:rsid w:val="002570BA"/>
    <w:rsid w:val="00260B67"/>
    <w:rsid w:val="00271BBE"/>
    <w:rsid w:val="00273AA9"/>
    <w:rsid w:val="00273C09"/>
    <w:rsid w:val="00275045"/>
    <w:rsid w:val="00275F39"/>
    <w:rsid w:val="002769E0"/>
    <w:rsid w:val="002823D3"/>
    <w:rsid w:val="00282AF1"/>
    <w:rsid w:val="00285E04"/>
    <w:rsid w:val="00286C30"/>
    <w:rsid w:val="00286D11"/>
    <w:rsid w:val="00290252"/>
    <w:rsid w:val="00291A6E"/>
    <w:rsid w:val="00297998"/>
    <w:rsid w:val="00297C3D"/>
    <w:rsid w:val="002A0D3C"/>
    <w:rsid w:val="002A1123"/>
    <w:rsid w:val="002A136D"/>
    <w:rsid w:val="002A262E"/>
    <w:rsid w:val="002A49F4"/>
    <w:rsid w:val="002A7134"/>
    <w:rsid w:val="002B247F"/>
    <w:rsid w:val="002B2772"/>
    <w:rsid w:val="002B2B54"/>
    <w:rsid w:val="002B39F7"/>
    <w:rsid w:val="002B40F2"/>
    <w:rsid w:val="002B6923"/>
    <w:rsid w:val="002B7DF9"/>
    <w:rsid w:val="002C05D5"/>
    <w:rsid w:val="002C460C"/>
    <w:rsid w:val="002C4FC6"/>
    <w:rsid w:val="002C5C48"/>
    <w:rsid w:val="002C79A6"/>
    <w:rsid w:val="002D095A"/>
    <w:rsid w:val="002D104D"/>
    <w:rsid w:val="002D1B09"/>
    <w:rsid w:val="002D241D"/>
    <w:rsid w:val="002D4C1A"/>
    <w:rsid w:val="002D524D"/>
    <w:rsid w:val="002E079E"/>
    <w:rsid w:val="002E25E7"/>
    <w:rsid w:val="002E4A5D"/>
    <w:rsid w:val="002E6902"/>
    <w:rsid w:val="002F0451"/>
    <w:rsid w:val="002F1E14"/>
    <w:rsid w:val="002F235C"/>
    <w:rsid w:val="002F5274"/>
    <w:rsid w:val="002F72C6"/>
    <w:rsid w:val="002F7BD4"/>
    <w:rsid w:val="003000ED"/>
    <w:rsid w:val="00301B78"/>
    <w:rsid w:val="00302A71"/>
    <w:rsid w:val="00302CF5"/>
    <w:rsid w:val="00302D3B"/>
    <w:rsid w:val="003033F6"/>
    <w:rsid w:val="00303F39"/>
    <w:rsid w:val="0031138F"/>
    <w:rsid w:val="00312E7E"/>
    <w:rsid w:val="0031380D"/>
    <w:rsid w:val="003139A7"/>
    <w:rsid w:val="0031429E"/>
    <w:rsid w:val="00314ACB"/>
    <w:rsid w:val="0031511D"/>
    <w:rsid w:val="003161F8"/>
    <w:rsid w:val="003174D2"/>
    <w:rsid w:val="00320AC8"/>
    <w:rsid w:val="003216E0"/>
    <w:rsid w:val="003232B4"/>
    <w:rsid w:val="003235CC"/>
    <w:rsid w:val="00323FA4"/>
    <w:rsid w:val="0032400F"/>
    <w:rsid w:val="00324F29"/>
    <w:rsid w:val="00330298"/>
    <w:rsid w:val="00331229"/>
    <w:rsid w:val="00331C2E"/>
    <w:rsid w:val="003330EA"/>
    <w:rsid w:val="00333267"/>
    <w:rsid w:val="00336750"/>
    <w:rsid w:val="00337123"/>
    <w:rsid w:val="00337586"/>
    <w:rsid w:val="00342B14"/>
    <w:rsid w:val="003437A3"/>
    <w:rsid w:val="00344E6A"/>
    <w:rsid w:val="0034582A"/>
    <w:rsid w:val="00346935"/>
    <w:rsid w:val="00346B21"/>
    <w:rsid w:val="00347D42"/>
    <w:rsid w:val="00347E78"/>
    <w:rsid w:val="00350EAF"/>
    <w:rsid w:val="0035183D"/>
    <w:rsid w:val="0035298E"/>
    <w:rsid w:val="00353333"/>
    <w:rsid w:val="003545DF"/>
    <w:rsid w:val="00360CDC"/>
    <w:rsid w:val="003619B7"/>
    <w:rsid w:val="00362E10"/>
    <w:rsid w:val="0036384F"/>
    <w:rsid w:val="00365361"/>
    <w:rsid w:val="003701E8"/>
    <w:rsid w:val="003715E4"/>
    <w:rsid w:val="003724D8"/>
    <w:rsid w:val="00372E54"/>
    <w:rsid w:val="00372EF3"/>
    <w:rsid w:val="00372F56"/>
    <w:rsid w:val="00372F91"/>
    <w:rsid w:val="00375E20"/>
    <w:rsid w:val="00375FC0"/>
    <w:rsid w:val="003767EE"/>
    <w:rsid w:val="003769BA"/>
    <w:rsid w:val="00377583"/>
    <w:rsid w:val="0038223C"/>
    <w:rsid w:val="00383CEA"/>
    <w:rsid w:val="0038697D"/>
    <w:rsid w:val="003879AD"/>
    <w:rsid w:val="00391C93"/>
    <w:rsid w:val="00393C8D"/>
    <w:rsid w:val="00395104"/>
    <w:rsid w:val="00395E01"/>
    <w:rsid w:val="00396066"/>
    <w:rsid w:val="00396190"/>
    <w:rsid w:val="003A0A83"/>
    <w:rsid w:val="003A0C5B"/>
    <w:rsid w:val="003A0CA8"/>
    <w:rsid w:val="003A2E94"/>
    <w:rsid w:val="003A5702"/>
    <w:rsid w:val="003A5988"/>
    <w:rsid w:val="003A798C"/>
    <w:rsid w:val="003B3DB5"/>
    <w:rsid w:val="003B3F3F"/>
    <w:rsid w:val="003B3F78"/>
    <w:rsid w:val="003B4E97"/>
    <w:rsid w:val="003B643A"/>
    <w:rsid w:val="003B704E"/>
    <w:rsid w:val="003B746F"/>
    <w:rsid w:val="003C28DE"/>
    <w:rsid w:val="003C2E8F"/>
    <w:rsid w:val="003C32AC"/>
    <w:rsid w:val="003C4104"/>
    <w:rsid w:val="003C63A6"/>
    <w:rsid w:val="003C7732"/>
    <w:rsid w:val="003C7F66"/>
    <w:rsid w:val="003C7F87"/>
    <w:rsid w:val="003D0009"/>
    <w:rsid w:val="003D0404"/>
    <w:rsid w:val="003D12FF"/>
    <w:rsid w:val="003D13BD"/>
    <w:rsid w:val="003D27FC"/>
    <w:rsid w:val="003D49A4"/>
    <w:rsid w:val="003E221D"/>
    <w:rsid w:val="003E2902"/>
    <w:rsid w:val="003E4680"/>
    <w:rsid w:val="003F00A4"/>
    <w:rsid w:val="003F20E3"/>
    <w:rsid w:val="003F2156"/>
    <w:rsid w:val="003F23CE"/>
    <w:rsid w:val="003F3339"/>
    <w:rsid w:val="003F38B1"/>
    <w:rsid w:val="003F4325"/>
    <w:rsid w:val="003F6281"/>
    <w:rsid w:val="003F6426"/>
    <w:rsid w:val="003F66CE"/>
    <w:rsid w:val="003F77CA"/>
    <w:rsid w:val="00403226"/>
    <w:rsid w:val="00405103"/>
    <w:rsid w:val="00405BD8"/>
    <w:rsid w:val="004069FA"/>
    <w:rsid w:val="00410D06"/>
    <w:rsid w:val="0041355F"/>
    <w:rsid w:val="00416146"/>
    <w:rsid w:val="004161BB"/>
    <w:rsid w:val="0041677C"/>
    <w:rsid w:val="00417582"/>
    <w:rsid w:val="00420F48"/>
    <w:rsid w:val="00421904"/>
    <w:rsid w:val="0042221A"/>
    <w:rsid w:val="00423C6D"/>
    <w:rsid w:val="00424669"/>
    <w:rsid w:val="004246A3"/>
    <w:rsid w:val="00425155"/>
    <w:rsid w:val="00425C78"/>
    <w:rsid w:val="0042656C"/>
    <w:rsid w:val="00426C65"/>
    <w:rsid w:val="00431380"/>
    <w:rsid w:val="00431EDF"/>
    <w:rsid w:val="0043346F"/>
    <w:rsid w:val="00433ABA"/>
    <w:rsid w:val="00433BB2"/>
    <w:rsid w:val="00433C36"/>
    <w:rsid w:val="00434F6B"/>
    <w:rsid w:val="00435265"/>
    <w:rsid w:val="004357B7"/>
    <w:rsid w:val="00436CD6"/>
    <w:rsid w:val="00436D95"/>
    <w:rsid w:val="00437652"/>
    <w:rsid w:val="00440750"/>
    <w:rsid w:val="00442823"/>
    <w:rsid w:val="00443541"/>
    <w:rsid w:val="00445396"/>
    <w:rsid w:val="00451A10"/>
    <w:rsid w:val="00452FA2"/>
    <w:rsid w:val="0045483E"/>
    <w:rsid w:val="00456958"/>
    <w:rsid w:val="00456E81"/>
    <w:rsid w:val="004574A7"/>
    <w:rsid w:val="00457E5B"/>
    <w:rsid w:val="0046038F"/>
    <w:rsid w:val="0046047A"/>
    <w:rsid w:val="00460499"/>
    <w:rsid w:val="0046303B"/>
    <w:rsid w:val="0046375D"/>
    <w:rsid w:val="00464095"/>
    <w:rsid w:val="00465DC4"/>
    <w:rsid w:val="00465F83"/>
    <w:rsid w:val="00470C61"/>
    <w:rsid w:val="0047239C"/>
    <w:rsid w:val="00474B13"/>
    <w:rsid w:val="00474CC4"/>
    <w:rsid w:val="00476EB8"/>
    <w:rsid w:val="00477BC0"/>
    <w:rsid w:val="0048013C"/>
    <w:rsid w:val="0048027C"/>
    <w:rsid w:val="004808CE"/>
    <w:rsid w:val="00481BAD"/>
    <w:rsid w:val="004838DC"/>
    <w:rsid w:val="0048782C"/>
    <w:rsid w:val="004910D3"/>
    <w:rsid w:val="0049398A"/>
    <w:rsid w:val="00493E8A"/>
    <w:rsid w:val="004943DF"/>
    <w:rsid w:val="00495555"/>
    <w:rsid w:val="00495790"/>
    <w:rsid w:val="00496012"/>
    <w:rsid w:val="0049745C"/>
    <w:rsid w:val="004A1A92"/>
    <w:rsid w:val="004A1D8B"/>
    <w:rsid w:val="004A2D75"/>
    <w:rsid w:val="004A4879"/>
    <w:rsid w:val="004B0A48"/>
    <w:rsid w:val="004B263F"/>
    <w:rsid w:val="004B7CA2"/>
    <w:rsid w:val="004C03EA"/>
    <w:rsid w:val="004C300D"/>
    <w:rsid w:val="004C467A"/>
    <w:rsid w:val="004C5563"/>
    <w:rsid w:val="004C5BB9"/>
    <w:rsid w:val="004C64C9"/>
    <w:rsid w:val="004C6DB8"/>
    <w:rsid w:val="004D0869"/>
    <w:rsid w:val="004D1851"/>
    <w:rsid w:val="004D24E7"/>
    <w:rsid w:val="004D24F6"/>
    <w:rsid w:val="004D275B"/>
    <w:rsid w:val="004D67BB"/>
    <w:rsid w:val="004D6B70"/>
    <w:rsid w:val="004E0CA9"/>
    <w:rsid w:val="004E253C"/>
    <w:rsid w:val="004E3769"/>
    <w:rsid w:val="004E386A"/>
    <w:rsid w:val="004E4160"/>
    <w:rsid w:val="004E4BAC"/>
    <w:rsid w:val="004E5B71"/>
    <w:rsid w:val="004F259B"/>
    <w:rsid w:val="004F2C51"/>
    <w:rsid w:val="004F490A"/>
    <w:rsid w:val="005011FC"/>
    <w:rsid w:val="005018C5"/>
    <w:rsid w:val="00501990"/>
    <w:rsid w:val="00502E90"/>
    <w:rsid w:val="00503C1C"/>
    <w:rsid w:val="00504648"/>
    <w:rsid w:val="0050583C"/>
    <w:rsid w:val="00505E95"/>
    <w:rsid w:val="00507372"/>
    <w:rsid w:val="005077FD"/>
    <w:rsid w:val="005115D1"/>
    <w:rsid w:val="00512505"/>
    <w:rsid w:val="00512EF0"/>
    <w:rsid w:val="00513444"/>
    <w:rsid w:val="005145B3"/>
    <w:rsid w:val="00514D00"/>
    <w:rsid w:val="005165F2"/>
    <w:rsid w:val="00517997"/>
    <w:rsid w:val="00517B72"/>
    <w:rsid w:val="00520C29"/>
    <w:rsid w:val="005227FD"/>
    <w:rsid w:val="0052696C"/>
    <w:rsid w:val="005273C0"/>
    <w:rsid w:val="00527F4B"/>
    <w:rsid w:val="00530961"/>
    <w:rsid w:val="00533AC7"/>
    <w:rsid w:val="00535617"/>
    <w:rsid w:val="005356D4"/>
    <w:rsid w:val="005363EC"/>
    <w:rsid w:val="00537106"/>
    <w:rsid w:val="005378C5"/>
    <w:rsid w:val="00537DE6"/>
    <w:rsid w:val="00537DEC"/>
    <w:rsid w:val="00542206"/>
    <w:rsid w:val="0054254B"/>
    <w:rsid w:val="005448AD"/>
    <w:rsid w:val="00546967"/>
    <w:rsid w:val="00547A4C"/>
    <w:rsid w:val="00547E7A"/>
    <w:rsid w:val="00550D6F"/>
    <w:rsid w:val="00552073"/>
    <w:rsid w:val="00552A48"/>
    <w:rsid w:val="00554217"/>
    <w:rsid w:val="00554F66"/>
    <w:rsid w:val="0055604D"/>
    <w:rsid w:val="0055608C"/>
    <w:rsid w:val="00557267"/>
    <w:rsid w:val="005574FC"/>
    <w:rsid w:val="0056074F"/>
    <w:rsid w:val="005618DC"/>
    <w:rsid w:val="005620D2"/>
    <w:rsid w:val="005645A7"/>
    <w:rsid w:val="00564650"/>
    <w:rsid w:val="00565387"/>
    <w:rsid w:val="00565976"/>
    <w:rsid w:val="00565E12"/>
    <w:rsid w:val="00566384"/>
    <w:rsid w:val="00566646"/>
    <w:rsid w:val="00566B29"/>
    <w:rsid w:val="0056704F"/>
    <w:rsid w:val="00571132"/>
    <w:rsid w:val="0057118B"/>
    <w:rsid w:val="00573077"/>
    <w:rsid w:val="0057312A"/>
    <w:rsid w:val="00573238"/>
    <w:rsid w:val="005756BA"/>
    <w:rsid w:val="00575A00"/>
    <w:rsid w:val="00575F8E"/>
    <w:rsid w:val="0057714E"/>
    <w:rsid w:val="00577718"/>
    <w:rsid w:val="00581FD9"/>
    <w:rsid w:val="00582EE2"/>
    <w:rsid w:val="005837BD"/>
    <w:rsid w:val="00584C97"/>
    <w:rsid w:val="0058528C"/>
    <w:rsid w:val="00590D75"/>
    <w:rsid w:val="00593643"/>
    <w:rsid w:val="005940F8"/>
    <w:rsid w:val="005A0280"/>
    <w:rsid w:val="005A2D64"/>
    <w:rsid w:val="005A361F"/>
    <w:rsid w:val="005A37E8"/>
    <w:rsid w:val="005A3945"/>
    <w:rsid w:val="005A3DAF"/>
    <w:rsid w:val="005A51F5"/>
    <w:rsid w:val="005A7371"/>
    <w:rsid w:val="005B1BBA"/>
    <w:rsid w:val="005B1F09"/>
    <w:rsid w:val="005B2E2C"/>
    <w:rsid w:val="005B3BED"/>
    <w:rsid w:val="005B3D5D"/>
    <w:rsid w:val="005B47C4"/>
    <w:rsid w:val="005B48A5"/>
    <w:rsid w:val="005B64AA"/>
    <w:rsid w:val="005B6834"/>
    <w:rsid w:val="005B6D9A"/>
    <w:rsid w:val="005B7018"/>
    <w:rsid w:val="005B7390"/>
    <w:rsid w:val="005C0F97"/>
    <w:rsid w:val="005C11FC"/>
    <w:rsid w:val="005C2137"/>
    <w:rsid w:val="005C3516"/>
    <w:rsid w:val="005C4C1C"/>
    <w:rsid w:val="005C4F4B"/>
    <w:rsid w:val="005C5182"/>
    <w:rsid w:val="005C5A1A"/>
    <w:rsid w:val="005C790E"/>
    <w:rsid w:val="005D4603"/>
    <w:rsid w:val="005D48AB"/>
    <w:rsid w:val="005D49FC"/>
    <w:rsid w:val="005D4F59"/>
    <w:rsid w:val="005D523F"/>
    <w:rsid w:val="005E2912"/>
    <w:rsid w:val="005E2D80"/>
    <w:rsid w:val="005E4A02"/>
    <w:rsid w:val="005E527D"/>
    <w:rsid w:val="005F2452"/>
    <w:rsid w:val="005F26A3"/>
    <w:rsid w:val="005F2AC1"/>
    <w:rsid w:val="005F3121"/>
    <w:rsid w:val="005F38DE"/>
    <w:rsid w:val="005F47D3"/>
    <w:rsid w:val="005F67DB"/>
    <w:rsid w:val="005F7EA7"/>
    <w:rsid w:val="00600CE1"/>
    <w:rsid w:val="006029A7"/>
    <w:rsid w:val="00604B8F"/>
    <w:rsid w:val="006072BB"/>
    <w:rsid w:val="0060735E"/>
    <w:rsid w:val="00613AD2"/>
    <w:rsid w:val="0061537E"/>
    <w:rsid w:val="00615EA1"/>
    <w:rsid w:val="00617DD0"/>
    <w:rsid w:val="0062157E"/>
    <w:rsid w:val="00621747"/>
    <w:rsid w:val="00622DFF"/>
    <w:rsid w:val="006241B4"/>
    <w:rsid w:val="00624646"/>
    <w:rsid w:val="006279B9"/>
    <w:rsid w:val="00627D7A"/>
    <w:rsid w:val="00630B7E"/>
    <w:rsid w:val="006310BF"/>
    <w:rsid w:val="006314BF"/>
    <w:rsid w:val="0063383B"/>
    <w:rsid w:val="00633CA8"/>
    <w:rsid w:val="006340B2"/>
    <w:rsid w:val="006355EA"/>
    <w:rsid w:val="00635F97"/>
    <w:rsid w:val="00636D14"/>
    <w:rsid w:val="00640136"/>
    <w:rsid w:val="0064074B"/>
    <w:rsid w:val="0064144D"/>
    <w:rsid w:val="00642EAC"/>
    <w:rsid w:val="0064602E"/>
    <w:rsid w:val="00650440"/>
    <w:rsid w:val="00652DB6"/>
    <w:rsid w:val="00653A5E"/>
    <w:rsid w:val="006546F2"/>
    <w:rsid w:val="00657937"/>
    <w:rsid w:val="0066105C"/>
    <w:rsid w:val="00662411"/>
    <w:rsid w:val="00663993"/>
    <w:rsid w:val="00665166"/>
    <w:rsid w:val="00665666"/>
    <w:rsid w:val="006704AF"/>
    <w:rsid w:val="00670C40"/>
    <w:rsid w:val="006715F9"/>
    <w:rsid w:val="00672DBE"/>
    <w:rsid w:val="00674842"/>
    <w:rsid w:val="0067552A"/>
    <w:rsid w:val="00677A8C"/>
    <w:rsid w:val="0068416B"/>
    <w:rsid w:val="00684C44"/>
    <w:rsid w:val="0068566F"/>
    <w:rsid w:val="006868A3"/>
    <w:rsid w:val="00686999"/>
    <w:rsid w:val="00687030"/>
    <w:rsid w:val="0069059A"/>
    <w:rsid w:val="006911F9"/>
    <w:rsid w:val="00693374"/>
    <w:rsid w:val="00694B11"/>
    <w:rsid w:val="006951A7"/>
    <w:rsid w:val="00695279"/>
    <w:rsid w:val="00695E14"/>
    <w:rsid w:val="00696589"/>
    <w:rsid w:val="00696885"/>
    <w:rsid w:val="00696ACE"/>
    <w:rsid w:val="0069744B"/>
    <w:rsid w:val="0069767F"/>
    <w:rsid w:val="006A0CB3"/>
    <w:rsid w:val="006A26E7"/>
    <w:rsid w:val="006A4675"/>
    <w:rsid w:val="006A4E61"/>
    <w:rsid w:val="006A59B9"/>
    <w:rsid w:val="006B27C2"/>
    <w:rsid w:val="006B338A"/>
    <w:rsid w:val="006B3A52"/>
    <w:rsid w:val="006B43CC"/>
    <w:rsid w:val="006B4F71"/>
    <w:rsid w:val="006B5ABF"/>
    <w:rsid w:val="006B5E1E"/>
    <w:rsid w:val="006B63A4"/>
    <w:rsid w:val="006C074A"/>
    <w:rsid w:val="006C0AEE"/>
    <w:rsid w:val="006C1D37"/>
    <w:rsid w:val="006C2D50"/>
    <w:rsid w:val="006C5E81"/>
    <w:rsid w:val="006C78CF"/>
    <w:rsid w:val="006D0CE9"/>
    <w:rsid w:val="006D3D3B"/>
    <w:rsid w:val="006D4466"/>
    <w:rsid w:val="006D4E40"/>
    <w:rsid w:val="006D5B4F"/>
    <w:rsid w:val="006D67EE"/>
    <w:rsid w:val="006D717B"/>
    <w:rsid w:val="006E09FA"/>
    <w:rsid w:val="006E14FF"/>
    <w:rsid w:val="006E194D"/>
    <w:rsid w:val="006E1D20"/>
    <w:rsid w:val="006E2139"/>
    <w:rsid w:val="006E2284"/>
    <w:rsid w:val="006E3800"/>
    <w:rsid w:val="006E3F96"/>
    <w:rsid w:val="006E491A"/>
    <w:rsid w:val="006E506A"/>
    <w:rsid w:val="006E511A"/>
    <w:rsid w:val="006F32FB"/>
    <w:rsid w:val="006F4F95"/>
    <w:rsid w:val="006F56E1"/>
    <w:rsid w:val="006F5C69"/>
    <w:rsid w:val="006F6597"/>
    <w:rsid w:val="006F716C"/>
    <w:rsid w:val="006F77FC"/>
    <w:rsid w:val="00700573"/>
    <w:rsid w:val="0070077B"/>
    <w:rsid w:val="0070236D"/>
    <w:rsid w:val="00702588"/>
    <w:rsid w:val="0070382D"/>
    <w:rsid w:val="00703D24"/>
    <w:rsid w:val="00705E25"/>
    <w:rsid w:val="0071040D"/>
    <w:rsid w:val="0071110B"/>
    <w:rsid w:val="00711694"/>
    <w:rsid w:val="0071324F"/>
    <w:rsid w:val="00722B2C"/>
    <w:rsid w:val="007237ED"/>
    <w:rsid w:val="007237FD"/>
    <w:rsid w:val="00724BC3"/>
    <w:rsid w:val="00726A84"/>
    <w:rsid w:val="00730A38"/>
    <w:rsid w:val="00731416"/>
    <w:rsid w:val="0073636B"/>
    <w:rsid w:val="00741475"/>
    <w:rsid w:val="007421E7"/>
    <w:rsid w:val="0074394D"/>
    <w:rsid w:val="007447CC"/>
    <w:rsid w:val="00746CCD"/>
    <w:rsid w:val="00747BF4"/>
    <w:rsid w:val="0075182E"/>
    <w:rsid w:val="00751F13"/>
    <w:rsid w:val="00752B13"/>
    <w:rsid w:val="00753387"/>
    <w:rsid w:val="00753824"/>
    <w:rsid w:val="00754F5D"/>
    <w:rsid w:val="0075697A"/>
    <w:rsid w:val="007620ED"/>
    <w:rsid w:val="00762A76"/>
    <w:rsid w:val="00762BF7"/>
    <w:rsid w:val="00764EE8"/>
    <w:rsid w:val="00765032"/>
    <w:rsid w:val="00765381"/>
    <w:rsid w:val="00765846"/>
    <w:rsid w:val="00766759"/>
    <w:rsid w:val="007710DB"/>
    <w:rsid w:val="00771EC3"/>
    <w:rsid w:val="007728CB"/>
    <w:rsid w:val="007745C8"/>
    <w:rsid w:val="00774F69"/>
    <w:rsid w:val="00774FD7"/>
    <w:rsid w:val="007756C4"/>
    <w:rsid w:val="00776E07"/>
    <w:rsid w:val="00777C79"/>
    <w:rsid w:val="00777EDD"/>
    <w:rsid w:val="00780257"/>
    <w:rsid w:val="00782336"/>
    <w:rsid w:val="007828DE"/>
    <w:rsid w:val="00782C7D"/>
    <w:rsid w:val="007839F2"/>
    <w:rsid w:val="00784140"/>
    <w:rsid w:val="007868C8"/>
    <w:rsid w:val="007958E0"/>
    <w:rsid w:val="007959AB"/>
    <w:rsid w:val="0079603B"/>
    <w:rsid w:val="007A01E2"/>
    <w:rsid w:val="007A03F8"/>
    <w:rsid w:val="007A1449"/>
    <w:rsid w:val="007A181D"/>
    <w:rsid w:val="007A1B08"/>
    <w:rsid w:val="007A1FF1"/>
    <w:rsid w:val="007A30BA"/>
    <w:rsid w:val="007A3A13"/>
    <w:rsid w:val="007A3F76"/>
    <w:rsid w:val="007A51B4"/>
    <w:rsid w:val="007A6657"/>
    <w:rsid w:val="007A6F63"/>
    <w:rsid w:val="007B0079"/>
    <w:rsid w:val="007B2744"/>
    <w:rsid w:val="007B3048"/>
    <w:rsid w:val="007B3C17"/>
    <w:rsid w:val="007B3FE1"/>
    <w:rsid w:val="007B74A2"/>
    <w:rsid w:val="007C0422"/>
    <w:rsid w:val="007C0EBC"/>
    <w:rsid w:val="007C11D2"/>
    <w:rsid w:val="007C14A1"/>
    <w:rsid w:val="007C2CCC"/>
    <w:rsid w:val="007C3A1A"/>
    <w:rsid w:val="007C420E"/>
    <w:rsid w:val="007C5476"/>
    <w:rsid w:val="007C568C"/>
    <w:rsid w:val="007C64B1"/>
    <w:rsid w:val="007C717F"/>
    <w:rsid w:val="007D0A2A"/>
    <w:rsid w:val="007D52ED"/>
    <w:rsid w:val="007D72D5"/>
    <w:rsid w:val="007E0907"/>
    <w:rsid w:val="007E21CF"/>
    <w:rsid w:val="007E2874"/>
    <w:rsid w:val="007E2A5A"/>
    <w:rsid w:val="007E2CB9"/>
    <w:rsid w:val="007E64FA"/>
    <w:rsid w:val="007F0A1D"/>
    <w:rsid w:val="007F1271"/>
    <w:rsid w:val="007F1277"/>
    <w:rsid w:val="007F14E4"/>
    <w:rsid w:val="007F1855"/>
    <w:rsid w:val="007F18A5"/>
    <w:rsid w:val="007F315A"/>
    <w:rsid w:val="007F3766"/>
    <w:rsid w:val="007F4F80"/>
    <w:rsid w:val="007F5AA0"/>
    <w:rsid w:val="007F5AC9"/>
    <w:rsid w:val="007F5E90"/>
    <w:rsid w:val="007F6E94"/>
    <w:rsid w:val="007F767A"/>
    <w:rsid w:val="007F774A"/>
    <w:rsid w:val="00803A51"/>
    <w:rsid w:val="00803F59"/>
    <w:rsid w:val="00803FB1"/>
    <w:rsid w:val="0080433C"/>
    <w:rsid w:val="008076C8"/>
    <w:rsid w:val="00813670"/>
    <w:rsid w:val="0081770E"/>
    <w:rsid w:val="00817860"/>
    <w:rsid w:val="0082188B"/>
    <w:rsid w:val="008233DA"/>
    <w:rsid w:val="00823F24"/>
    <w:rsid w:val="00824172"/>
    <w:rsid w:val="0082582B"/>
    <w:rsid w:val="00825E37"/>
    <w:rsid w:val="0083050D"/>
    <w:rsid w:val="00830AAB"/>
    <w:rsid w:val="00831444"/>
    <w:rsid w:val="00831E79"/>
    <w:rsid w:val="0083279A"/>
    <w:rsid w:val="008352F2"/>
    <w:rsid w:val="008367D7"/>
    <w:rsid w:val="008374FE"/>
    <w:rsid w:val="0084001B"/>
    <w:rsid w:val="008428EF"/>
    <w:rsid w:val="00844285"/>
    <w:rsid w:val="008444CC"/>
    <w:rsid w:val="00846E7E"/>
    <w:rsid w:val="0085080A"/>
    <w:rsid w:val="00850953"/>
    <w:rsid w:val="00851531"/>
    <w:rsid w:val="00851846"/>
    <w:rsid w:val="00853234"/>
    <w:rsid w:val="008541A9"/>
    <w:rsid w:val="008548E9"/>
    <w:rsid w:val="0085543B"/>
    <w:rsid w:val="00855C77"/>
    <w:rsid w:val="00855E64"/>
    <w:rsid w:val="00860C03"/>
    <w:rsid w:val="0086451E"/>
    <w:rsid w:val="00865F61"/>
    <w:rsid w:val="008718A3"/>
    <w:rsid w:val="008718DB"/>
    <w:rsid w:val="0087241B"/>
    <w:rsid w:val="00872C12"/>
    <w:rsid w:val="00874EB2"/>
    <w:rsid w:val="00876A74"/>
    <w:rsid w:val="00877015"/>
    <w:rsid w:val="00881F3F"/>
    <w:rsid w:val="00884512"/>
    <w:rsid w:val="00884AEC"/>
    <w:rsid w:val="00885FE6"/>
    <w:rsid w:val="008878D1"/>
    <w:rsid w:val="00887D94"/>
    <w:rsid w:val="008907DF"/>
    <w:rsid w:val="00890FFD"/>
    <w:rsid w:val="00892AD8"/>
    <w:rsid w:val="008939F5"/>
    <w:rsid w:val="00893BB1"/>
    <w:rsid w:val="0089575A"/>
    <w:rsid w:val="008977BF"/>
    <w:rsid w:val="008A031F"/>
    <w:rsid w:val="008A07F8"/>
    <w:rsid w:val="008A0F78"/>
    <w:rsid w:val="008A1A81"/>
    <w:rsid w:val="008A2025"/>
    <w:rsid w:val="008A27DE"/>
    <w:rsid w:val="008B3E33"/>
    <w:rsid w:val="008B584A"/>
    <w:rsid w:val="008C0CC4"/>
    <w:rsid w:val="008C632A"/>
    <w:rsid w:val="008C699D"/>
    <w:rsid w:val="008C7DAC"/>
    <w:rsid w:val="008D0E57"/>
    <w:rsid w:val="008D12BB"/>
    <w:rsid w:val="008D1C80"/>
    <w:rsid w:val="008D1E72"/>
    <w:rsid w:val="008D297F"/>
    <w:rsid w:val="008D2B28"/>
    <w:rsid w:val="008D3113"/>
    <w:rsid w:val="008D32DE"/>
    <w:rsid w:val="008D3DC6"/>
    <w:rsid w:val="008D4820"/>
    <w:rsid w:val="008D5777"/>
    <w:rsid w:val="008D767B"/>
    <w:rsid w:val="008E1E72"/>
    <w:rsid w:val="008E1F6C"/>
    <w:rsid w:val="008E20CD"/>
    <w:rsid w:val="008E37AC"/>
    <w:rsid w:val="008E5B7A"/>
    <w:rsid w:val="008F1396"/>
    <w:rsid w:val="008F249C"/>
    <w:rsid w:val="008F3EEE"/>
    <w:rsid w:val="008F4784"/>
    <w:rsid w:val="008F4A8F"/>
    <w:rsid w:val="008F4BA0"/>
    <w:rsid w:val="008F542B"/>
    <w:rsid w:val="008F671F"/>
    <w:rsid w:val="008F6E80"/>
    <w:rsid w:val="008F7115"/>
    <w:rsid w:val="008F78FA"/>
    <w:rsid w:val="008F7CA4"/>
    <w:rsid w:val="00900E6A"/>
    <w:rsid w:val="00901534"/>
    <w:rsid w:val="00903458"/>
    <w:rsid w:val="0090372B"/>
    <w:rsid w:val="00903DA9"/>
    <w:rsid w:val="0090446A"/>
    <w:rsid w:val="00904B67"/>
    <w:rsid w:val="00904E19"/>
    <w:rsid w:val="00910B27"/>
    <w:rsid w:val="00914F04"/>
    <w:rsid w:val="0091652C"/>
    <w:rsid w:val="00916844"/>
    <w:rsid w:val="0092025A"/>
    <w:rsid w:val="00926E0F"/>
    <w:rsid w:val="00930E2A"/>
    <w:rsid w:val="0093148D"/>
    <w:rsid w:val="00931C17"/>
    <w:rsid w:val="00934FF5"/>
    <w:rsid w:val="009357A6"/>
    <w:rsid w:val="00936C49"/>
    <w:rsid w:val="0093777C"/>
    <w:rsid w:val="00937842"/>
    <w:rsid w:val="00940883"/>
    <w:rsid w:val="009414E8"/>
    <w:rsid w:val="00941E5B"/>
    <w:rsid w:val="00941FB7"/>
    <w:rsid w:val="0094206C"/>
    <w:rsid w:val="009430DE"/>
    <w:rsid w:val="00944572"/>
    <w:rsid w:val="009457F5"/>
    <w:rsid w:val="00946992"/>
    <w:rsid w:val="0094701F"/>
    <w:rsid w:val="00950C1E"/>
    <w:rsid w:val="009515FC"/>
    <w:rsid w:val="00952208"/>
    <w:rsid w:val="00952DFF"/>
    <w:rsid w:val="00953227"/>
    <w:rsid w:val="009540FF"/>
    <w:rsid w:val="00955790"/>
    <w:rsid w:val="009557BE"/>
    <w:rsid w:val="009566E7"/>
    <w:rsid w:val="0096597C"/>
    <w:rsid w:val="0096750B"/>
    <w:rsid w:val="0097340B"/>
    <w:rsid w:val="0097378F"/>
    <w:rsid w:val="009740DF"/>
    <w:rsid w:val="0097542A"/>
    <w:rsid w:val="00975609"/>
    <w:rsid w:val="00982B3D"/>
    <w:rsid w:val="009832CB"/>
    <w:rsid w:val="00984524"/>
    <w:rsid w:val="00985526"/>
    <w:rsid w:val="00985C33"/>
    <w:rsid w:val="0098744A"/>
    <w:rsid w:val="00987F43"/>
    <w:rsid w:val="0099193F"/>
    <w:rsid w:val="00991ADF"/>
    <w:rsid w:val="00994CC8"/>
    <w:rsid w:val="00996D1C"/>
    <w:rsid w:val="00997019"/>
    <w:rsid w:val="00997821"/>
    <w:rsid w:val="009A0648"/>
    <w:rsid w:val="009A1E92"/>
    <w:rsid w:val="009A33BF"/>
    <w:rsid w:val="009A3A1B"/>
    <w:rsid w:val="009A3BC0"/>
    <w:rsid w:val="009A4E1D"/>
    <w:rsid w:val="009A4FE9"/>
    <w:rsid w:val="009A5F69"/>
    <w:rsid w:val="009A6124"/>
    <w:rsid w:val="009A70BD"/>
    <w:rsid w:val="009A7D05"/>
    <w:rsid w:val="009B310E"/>
    <w:rsid w:val="009B3BCA"/>
    <w:rsid w:val="009B4D83"/>
    <w:rsid w:val="009B591A"/>
    <w:rsid w:val="009C25A6"/>
    <w:rsid w:val="009C6363"/>
    <w:rsid w:val="009D003B"/>
    <w:rsid w:val="009D0EA3"/>
    <w:rsid w:val="009D12AB"/>
    <w:rsid w:val="009D1D1A"/>
    <w:rsid w:val="009D363B"/>
    <w:rsid w:val="009D4A52"/>
    <w:rsid w:val="009E08D7"/>
    <w:rsid w:val="009E11D9"/>
    <w:rsid w:val="009E1CA6"/>
    <w:rsid w:val="009E428A"/>
    <w:rsid w:val="009E6182"/>
    <w:rsid w:val="009F1BE2"/>
    <w:rsid w:val="009F306E"/>
    <w:rsid w:val="009F3B7C"/>
    <w:rsid w:val="009F3F6A"/>
    <w:rsid w:val="009F4690"/>
    <w:rsid w:val="009F4BEB"/>
    <w:rsid w:val="009F5FFB"/>
    <w:rsid w:val="00A01ADC"/>
    <w:rsid w:val="00A02901"/>
    <w:rsid w:val="00A05D3C"/>
    <w:rsid w:val="00A061F0"/>
    <w:rsid w:val="00A06351"/>
    <w:rsid w:val="00A11730"/>
    <w:rsid w:val="00A12B31"/>
    <w:rsid w:val="00A155F7"/>
    <w:rsid w:val="00A16BE5"/>
    <w:rsid w:val="00A173B6"/>
    <w:rsid w:val="00A20495"/>
    <w:rsid w:val="00A2262A"/>
    <w:rsid w:val="00A237C2"/>
    <w:rsid w:val="00A23E33"/>
    <w:rsid w:val="00A24E38"/>
    <w:rsid w:val="00A26288"/>
    <w:rsid w:val="00A2757B"/>
    <w:rsid w:val="00A27ED3"/>
    <w:rsid w:val="00A301D2"/>
    <w:rsid w:val="00A30936"/>
    <w:rsid w:val="00A30FC2"/>
    <w:rsid w:val="00A3261E"/>
    <w:rsid w:val="00A3327F"/>
    <w:rsid w:val="00A33E31"/>
    <w:rsid w:val="00A348F3"/>
    <w:rsid w:val="00A34A83"/>
    <w:rsid w:val="00A34FF5"/>
    <w:rsid w:val="00A40483"/>
    <w:rsid w:val="00A413A6"/>
    <w:rsid w:val="00A429CD"/>
    <w:rsid w:val="00A47E67"/>
    <w:rsid w:val="00A538DE"/>
    <w:rsid w:val="00A53B29"/>
    <w:rsid w:val="00A56725"/>
    <w:rsid w:val="00A57417"/>
    <w:rsid w:val="00A60F93"/>
    <w:rsid w:val="00A61118"/>
    <w:rsid w:val="00A6193E"/>
    <w:rsid w:val="00A650AC"/>
    <w:rsid w:val="00A65A98"/>
    <w:rsid w:val="00A66891"/>
    <w:rsid w:val="00A66F1A"/>
    <w:rsid w:val="00A67038"/>
    <w:rsid w:val="00A713ED"/>
    <w:rsid w:val="00A72EFF"/>
    <w:rsid w:val="00A732A1"/>
    <w:rsid w:val="00A73383"/>
    <w:rsid w:val="00A73983"/>
    <w:rsid w:val="00A74E42"/>
    <w:rsid w:val="00A758F1"/>
    <w:rsid w:val="00A77EC8"/>
    <w:rsid w:val="00A805C1"/>
    <w:rsid w:val="00A811F2"/>
    <w:rsid w:val="00A81D22"/>
    <w:rsid w:val="00A82127"/>
    <w:rsid w:val="00A83AD0"/>
    <w:rsid w:val="00A85C08"/>
    <w:rsid w:val="00A875D4"/>
    <w:rsid w:val="00A87A00"/>
    <w:rsid w:val="00A90E41"/>
    <w:rsid w:val="00A93B17"/>
    <w:rsid w:val="00AA4459"/>
    <w:rsid w:val="00AA5037"/>
    <w:rsid w:val="00AA5F54"/>
    <w:rsid w:val="00AB1AD2"/>
    <w:rsid w:val="00AB1E0C"/>
    <w:rsid w:val="00AB2011"/>
    <w:rsid w:val="00AB2823"/>
    <w:rsid w:val="00AB297E"/>
    <w:rsid w:val="00AB35C0"/>
    <w:rsid w:val="00AB4055"/>
    <w:rsid w:val="00AB46D8"/>
    <w:rsid w:val="00AB5AC7"/>
    <w:rsid w:val="00AB69E5"/>
    <w:rsid w:val="00AC0141"/>
    <w:rsid w:val="00AC059C"/>
    <w:rsid w:val="00AC0E36"/>
    <w:rsid w:val="00AC4735"/>
    <w:rsid w:val="00AC4BA1"/>
    <w:rsid w:val="00AC4F4E"/>
    <w:rsid w:val="00AC5852"/>
    <w:rsid w:val="00AC72CA"/>
    <w:rsid w:val="00AD04C5"/>
    <w:rsid w:val="00AD0E53"/>
    <w:rsid w:val="00AD3E32"/>
    <w:rsid w:val="00AD4627"/>
    <w:rsid w:val="00AD58F8"/>
    <w:rsid w:val="00AE0814"/>
    <w:rsid w:val="00AE3211"/>
    <w:rsid w:val="00AE3975"/>
    <w:rsid w:val="00AE3A67"/>
    <w:rsid w:val="00AE3DE1"/>
    <w:rsid w:val="00AE5486"/>
    <w:rsid w:val="00AE6092"/>
    <w:rsid w:val="00AE6103"/>
    <w:rsid w:val="00AF06E8"/>
    <w:rsid w:val="00AF1302"/>
    <w:rsid w:val="00AF132B"/>
    <w:rsid w:val="00AF2FBA"/>
    <w:rsid w:val="00AF327C"/>
    <w:rsid w:val="00AF43EB"/>
    <w:rsid w:val="00AF61A5"/>
    <w:rsid w:val="00AF702F"/>
    <w:rsid w:val="00AF7880"/>
    <w:rsid w:val="00B04B85"/>
    <w:rsid w:val="00B04E5B"/>
    <w:rsid w:val="00B06B57"/>
    <w:rsid w:val="00B07CA5"/>
    <w:rsid w:val="00B108FB"/>
    <w:rsid w:val="00B10FE9"/>
    <w:rsid w:val="00B23591"/>
    <w:rsid w:val="00B23A6D"/>
    <w:rsid w:val="00B27081"/>
    <w:rsid w:val="00B276D4"/>
    <w:rsid w:val="00B2788C"/>
    <w:rsid w:val="00B31624"/>
    <w:rsid w:val="00B32ADC"/>
    <w:rsid w:val="00B33BAB"/>
    <w:rsid w:val="00B34597"/>
    <w:rsid w:val="00B34B5B"/>
    <w:rsid w:val="00B34D66"/>
    <w:rsid w:val="00B35BD1"/>
    <w:rsid w:val="00B36549"/>
    <w:rsid w:val="00B41994"/>
    <w:rsid w:val="00B41B07"/>
    <w:rsid w:val="00B4342A"/>
    <w:rsid w:val="00B4389A"/>
    <w:rsid w:val="00B443ED"/>
    <w:rsid w:val="00B45306"/>
    <w:rsid w:val="00B45646"/>
    <w:rsid w:val="00B45EAC"/>
    <w:rsid w:val="00B468A7"/>
    <w:rsid w:val="00B47161"/>
    <w:rsid w:val="00B472BC"/>
    <w:rsid w:val="00B47A77"/>
    <w:rsid w:val="00B5046C"/>
    <w:rsid w:val="00B519F6"/>
    <w:rsid w:val="00B52322"/>
    <w:rsid w:val="00B54E71"/>
    <w:rsid w:val="00B557BF"/>
    <w:rsid w:val="00B561ED"/>
    <w:rsid w:val="00B56FE5"/>
    <w:rsid w:val="00B62BF5"/>
    <w:rsid w:val="00B63443"/>
    <w:rsid w:val="00B6687E"/>
    <w:rsid w:val="00B670EB"/>
    <w:rsid w:val="00B71DF4"/>
    <w:rsid w:val="00B73DD6"/>
    <w:rsid w:val="00B75F2E"/>
    <w:rsid w:val="00B763AC"/>
    <w:rsid w:val="00B76409"/>
    <w:rsid w:val="00B820D1"/>
    <w:rsid w:val="00B82712"/>
    <w:rsid w:val="00B83AEA"/>
    <w:rsid w:val="00B85770"/>
    <w:rsid w:val="00B91886"/>
    <w:rsid w:val="00B91C12"/>
    <w:rsid w:val="00B93A94"/>
    <w:rsid w:val="00B93F2F"/>
    <w:rsid w:val="00B95D07"/>
    <w:rsid w:val="00B9725E"/>
    <w:rsid w:val="00B97C02"/>
    <w:rsid w:val="00BA2350"/>
    <w:rsid w:val="00BA350C"/>
    <w:rsid w:val="00BA657B"/>
    <w:rsid w:val="00BA7264"/>
    <w:rsid w:val="00BA7453"/>
    <w:rsid w:val="00BA76EF"/>
    <w:rsid w:val="00BB0DA4"/>
    <w:rsid w:val="00BB0FB9"/>
    <w:rsid w:val="00BB1D83"/>
    <w:rsid w:val="00BB241E"/>
    <w:rsid w:val="00BB38A8"/>
    <w:rsid w:val="00BB40D4"/>
    <w:rsid w:val="00BB56E3"/>
    <w:rsid w:val="00BB570D"/>
    <w:rsid w:val="00BB5E97"/>
    <w:rsid w:val="00BB6AEE"/>
    <w:rsid w:val="00BB6C7C"/>
    <w:rsid w:val="00BC056D"/>
    <w:rsid w:val="00BC07A6"/>
    <w:rsid w:val="00BC10ED"/>
    <w:rsid w:val="00BC188F"/>
    <w:rsid w:val="00BC22DA"/>
    <w:rsid w:val="00BC3F24"/>
    <w:rsid w:val="00BC400E"/>
    <w:rsid w:val="00BC4BF1"/>
    <w:rsid w:val="00BC5757"/>
    <w:rsid w:val="00BC68E2"/>
    <w:rsid w:val="00BD03EB"/>
    <w:rsid w:val="00BD0A39"/>
    <w:rsid w:val="00BD15AC"/>
    <w:rsid w:val="00BD27C6"/>
    <w:rsid w:val="00BD4121"/>
    <w:rsid w:val="00BD4246"/>
    <w:rsid w:val="00BD4EED"/>
    <w:rsid w:val="00BD75CF"/>
    <w:rsid w:val="00BE1C8B"/>
    <w:rsid w:val="00BE32F3"/>
    <w:rsid w:val="00BE6676"/>
    <w:rsid w:val="00BF1CE5"/>
    <w:rsid w:val="00BF2574"/>
    <w:rsid w:val="00BF4409"/>
    <w:rsid w:val="00BF56E4"/>
    <w:rsid w:val="00BF5725"/>
    <w:rsid w:val="00C00982"/>
    <w:rsid w:val="00C025B3"/>
    <w:rsid w:val="00C03794"/>
    <w:rsid w:val="00C041B7"/>
    <w:rsid w:val="00C046D6"/>
    <w:rsid w:val="00C04A7D"/>
    <w:rsid w:val="00C078A4"/>
    <w:rsid w:val="00C113CB"/>
    <w:rsid w:val="00C1146C"/>
    <w:rsid w:val="00C119BD"/>
    <w:rsid w:val="00C11BA4"/>
    <w:rsid w:val="00C13216"/>
    <w:rsid w:val="00C13944"/>
    <w:rsid w:val="00C13A1F"/>
    <w:rsid w:val="00C13D88"/>
    <w:rsid w:val="00C149B1"/>
    <w:rsid w:val="00C15D29"/>
    <w:rsid w:val="00C160E3"/>
    <w:rsid w:val="00C16AB5"/>
    <w:rsid w:val="00C20EE3"/>
    <w:rsid w:val="00C2217B"/>
    <w:rsid w:val="00C229CA"/>
    <w:rsid w:val="00C25539"/>
    <w:rsid w:val="00C2639B"/>
    <w:rsid w:val="00C30FC2"/>
    <w:rsid w:val="00C3387C"/>
    <w:rsid w:val="00C34BF9"/>
    <w:rsid w:val="00C35184"/>
    <w:rsid w:val="00C37E4C"/>
    <w:rsid w:val="00C41DEC"/>
    <w:rsid w:val="00C45518"/>
    <w:rsid w:val="00C46A2F"/>
    <w:rsid w:val="00C5229C"/>
    <w:rsid w:val="00C535F4"/>
    <w:rsid w:val="00C53BD8"/>
    <w:rsid w:val="00C53FF8"/>
    <w:rsid w:val="00C54077"/>
    <w:rsid w:val="00C55A4E"/>
    <w:rsid w:val="00C56695"/>
    <w:rsid w:val="00C572E4"/>
    <w:rsid w:val="00C5780E"/>
    <w:rsid w:val="00C57C1A"/>
    <w:rsid w:val="00C603FA"/>
    <w:rsid w:val="00C60490"/>
    <w:rsid w:val="00C621A8"/>
    <w:rsid w:val="00C63F1C"/>
    <w:rsid w:val="00C64268"/>
    <w:rsid w:val="00C65295"/>
    <w:rsid w:val="00C65CB3"/>
    <w:rsid w:val="00C6664C"/>
    <w:rsid w:val="00C66946"/>
    <w:rsid w:val="00C700C6"/>
    <w:rsid w:val="00C71228"/>
    <w:rsid w:val="00C714AC"/>
    <w:rsid w:val="00C71B6F"/>
    <w:rsid w:val="00C725B5"/>
    <w:rsid w:val="00C7542A"/>
    <w:rsid w:val="00C7598D"/>
    <w:rsid w:val="00C76964"/>
    <w:rsid w:val="00C7742D"/>
    <w:rsid w:val="00C81D46"/>
    <w:rsid w:val="00C8356B"/>
    <w:rsid w:val="00C83EF7"/>
    <w:rsid w:val="00C86CC7"/>
    <w:rsid w:val="00C86F38"/>
    <w:rsid w:val="00C87DDF"/>
    <w:rsid w:val="00C90FC7"/>
    <w:rsid w:val="00C9111A"/>
    <w:rsid w:val="00C9148F"/>
    <w:rsid w:val="00C92AB3"/>
    <w:rsid w:val="00C93B32"/>
    <w:rsid w:val="00C94E2F"/>
    <w:rsid w:val="00C97A87"/>
    <w:rsid w:val="00C97BA7"/>
    <w:rsid w:val="00CA3CFD"/>
    <w:rsid w:val="00CA5B9F"/>
    <w:rsid w:val="00CA5EB1"/>
    <w:rsid w:val="00CA7336"/>
    <w:rsid w:val="00CB09CD"/>
    <w:rsid w:val="00CB0D10"/>
    <w:rsid w:val="00CB0EB1"/>
    <w:rsid w:val="00CB1E10"/>
    <w:rsid w:val="00CB2169"/>
    <w:rsid w:val="00CB244C"/>
    <w:rsid w:val="00CB313E"/>
    <w:rsid w:val="00CB4F93"/>
    <w:rsid w:val="00CB7F65"/>
    <w:rsid w:val="00CC15EF"/>
    <w:rsid w:val="00CC2798"/>
    <w:rsid w:val="00CC32B0"/>
    <w:rsid w:val="00CC4977"/>
    <w:rsid w:val="00CC4E38"/>
    <w:rsid w:val="00CC4EA2"/>
    <w:rsid w:val="00CC4FD8"/>
    <w:rsid w:val="00CC51AF"/>
    <w:rsid w:val="00CC54A7"/>
    <w:rsid w:val="00CC614B"/>
    <w:rsid w:val="00CC7443"/>
    <w:rsid w:val="00CD1AA4"/>
    <w:rsid w:val="00CD3C6F"/>
    <w:rsid w:val="00CD595E"/>
    <w:rsid w:val="00CD72CA"/>
    <w:rsid w:val="00CD79DA"/>
    <w:rsid w:val="00CE0F66"/>
    <w:rsid w:val="00CE1391"/>
    <w:rsid w:val="00CE154F"/>
    <w:rsid w:val="00CE3DD8"/>
    <w:rsid w:val="00CE3FAF"/>
    <w:rsid w:val="00CF0006"/>
    <w:rsid w:val="00CF06D6"/>
    <w:rsid w:val="00CF1E2E"/>
    <w:rsid w:val="00CF3B19"/>
    <w:rsid w:val="00CF4F84"/>
    <w:rsid w:val="00CF5E36"/>
    <w:rsid w:val="00CF642A"/>
    <w:rsid w:val="00CF69A3"/>
    <w:rsid w:val="00CF77F2"/>
    <w:rsid w:val="00D0045C"/>
    <w:rsid w:val="00D00B0C"/>
    <w:rsid w:val="00D011B6"/>
    <w:rsid w:val="00D01278"/>
    <w:rsid w:val="00D01EB5"/>
    <w:rsid w:val="00D0448C"/>
    <w:rsid w:val="00D05D25"/>
    <w:rsid w:val="00D07F15"/>
    <w:rsid w:val="00D10808"/>
    <w:rsid w:val="00D10CB2"/>
    <w:rsid w:val="00D13793"/>
    <w:rsid w:val="00D16394"/>
    <w:rsid w:val="00D20B4D"/>
    <w:rsid w:val="00D20DC8"/>
    <w:rsid w:val="00D21497"/>
    <w:rsid w:val="00D23AF6"/>
    <w:rsid w:val="00D240A2"/>
    <w:rsid w:val="00D249CE"/>
    <w:rsid w:val="00D25068"/>
    <w:rsid w:val="00D27CA1"/>
    <w:rsid w:val="00D31C04"/>
    <w:rsid w:val="00D31C69"/>
    <w:rsid w:val="00D32C8F"/>
    <w:rsid w:val="00D33D22"/>
    <w:rsid w:val="00D34A65"/>
    <w:rsid w:val="00D35B64"/>
    <w:rsid w:val="00D3654D"/>
    <w:rsid w:val="00D40E59"/>
    <w:rsid w:val="00D411F2"/>
    <w:rsid w:val="00D42B17"/>
    <w:rsid w:val="00D50584"/>
    <w:rsid w:val="00D513BF"/>
    <w:rsid w:val="00D519BD"/>
    <w:rsid w:val="00D51EFC"/>
    <w:rsid w:val="00D52014"/>
    <w:rsid w:val="00D5203F"/>
    <w:rsid w:val="00D53565"/>
    <w:rsid w:val="00D56364"/>
    <w:rsid w:val="00D569BE"/>
    <w:rsid w:val="00D57EC7"/>
    <w:rsid w:val="00D602FB"/>
    <w:rsid w:val="00D60B11"/>
    <w:rsid w:val="00D6541F"/>
    <w:rsid w:val="00D702FE"/>
    <w:rsid w:val="00D70A03"/>
    <w:rsid w:val="00D718BB"/>
    <w:rsid w:val="00D72C4D"/>
    <w:rsid w:val="00D74670"/>
    <w:rsid w:val="00D77A35"/>
    <w:rsid w:val="00D77C54"/>
    <w:rsid w:val="00D804B3"/>
    <w:rsid w:val="00D8064A"/>
    <w:rsid w:val="00D8087F"/>
    <w:rsid w:val="00D81EA5"/>
    <w:rsid w:val="00D81F13"/>
    <w:rsid w:val="00D820BA"/>
    <w:rsid w:val="00D82F87"/>
    <w:rsid w:val="00D8435D"/>
    <w:rsid w:val="00D86CE2"/>
    <w:rsid w:val="00D87717"/>
    <w:rsid w:val="00D906A1"/>
    <w:rsid w:val="00D95734"/>
    <w:rsid w:val="00D96AE8"/>
    <w:rsid w:val="00DA26A8"/>
    <w:rsid w:val="00DA2B06"/>
    <w:rsid w:val="00DA4008"/>
    <w:rsid w:val="00DA4744"/>
    <w:rsid w:val="00DA5EB6"/>
    <w:rsid w:val="00DB10A5"/>
    <w:rsid w:val="00DB229C"/>
    <w:rsid w:val="00DB297B"/>
    <w:rsid w:val="00DB3BA2"/>
    <w:rsid w:val="00DB41F3"/>
    <w:rsid w:val="00DB7241"/>
    <w:rsid w:val="00DC0B0A"/>
    <w:rsid w:val="00DC0C43"/>
    <w:rsid w:val="00DC14E6"/>
    <w:rsid w:val="00DC4FA2"/>
    <w:rsid w:val="00DC61A3"/>
    <w:rsid w:val="00DC7756"/>
    <w:rsid w:val="00DC7D61"/>
    <w:rsid w:val="00DD084B"/>
    <w:rsid w:val="00DD14FD"/>
    <w:rsid w:val="00DD1550"/>
    <w:rsid w:val="00DD15DE"/>
    <w:rsid w:val="00DD7228"/>
    <w:rsid w:val="00DD7BF3"/>
    <w:rsid w:val="00DE1C75"/>
    <w:rsid w:val="00DE56D0"/>
    <w:rsid w:val="00DE6DC8"/>
    <w:rsid w:val="00DE76CC"/>
    <w:rsid w:val="00DE7ABF"/>
    <w:rsid w:val="00DF0119"/>
    <w:rsid w:val="00DF1B7E"/>
    <w:rsid w:val="00DF31FB"/>
    <w:rsid w:val="00DF3FC6"/>
    <w:rsid w:val="00DF43E8"/>
    <w:rsid w:val="00E01590"/>
    <w:rsid w:val="00E022CA"/>
    <w:rsid w:val="00E0254A"/>
    <w:rsid w:val="00E03A96"/>
    <w:rsid w:val="00E0524F"/>
    <w:rsid w:val="00E07EA2"/>
    <w:rsid w:val="00E10725"/>
    <w:rsid w:val="00E11833"/>
    <w:rsid w:val="00E11B2B"/>
    <w:rsid w:val="00E1227E"/>
    <w:rsid w:val="00E129F3"/>
    <w:rsid w:val="00E13885"/>
    <w:rsid w:val="00E1388D"/>
    <w:rsid w:val="00E15234"/>
    <w:rsid w:val="00E1762E"/>
    <w:rsid w:val="00E17A16"/>
    <w:rsid w:val="00E21EA2"/>
    <w:rsid w:val="00E21FB9"/>
    <w:rsid w:val="00E25FC6"/>
    <w:rsid w:val="00E261F2"/>
    <w:rsid w:val="00E27949"/>
    <w:rsid w:val="00E31DDF"/>
    <w:rsid w:val="00E35B1C"/>
    <w:rsid w:val="00E36A42"/>
    <w:rsid w:val="00E36C1C"/>
    <w:rsid w:val="00E37F75"/>
    <w:rsid w:val="00E41963"/>
    <w:rsid w:val="00E43024"/>
    <w:rsid w:val="00E437A9"/>
    <w:rsid w:val="00E4425F"/>
    <w:rsid w:val="00E45333"/>
    <w:rsid w:val="00E46D5C"/>
    <w:rsid w:val="00E525DA"/>
    <w:rsid w:val="00E54D24"/>
    <w:rsid w:val="00E57E2B"/>
    <w:rsid w:val="00E605BD"/>
    <w:rsid w:val="00E605C3"/>
    <w:rsid w:val="00E6333A"/>
    <w:rsid w:val="00E63A07"/>
    <w:rsid w:val="00E645F8"/>
    <w:rsid w:val="00E65F38"/>
    <w:rsid w:val="00E66EF8"/>
    <w:rsid w:val="00E67BCA"/>
    <w:rsid w:val="00E7165A"/>
    <w:rsid w:val="00E71C92"/>
    <w:rsid w:val="00E724CA"/>
    <w:rsid w:val="00E73591"/>
    <w:rsid w:val="00E73D0B"/>
    <w:rsid w:val="00E77208"/>
    <w:rsid w:val="00E777B0"/>
    <w:rsid w:val="00E8051D"/>
    <w:rsid w:val="00E80A36"/>
    <w:rsid w:val="00E811E7"/>
    <w:rsid w:val="00E8174E"/>
    <w:rsid w:val="00E83E68"/>
    <w:rsid w:val="00E9042A"/>
    <w:rsid w:val="00E921B7"/>
    <w:rsid w:val="00E94FB3"/>
    <w:rsid w:val="00E95C5E"/>
    <w:rsid w:val="00E95E4A"/>
    <w:rsid w:val="00E96DA4"/>
    <w:rsid w:val="00E96E36"/>
    <w:rsid w:val="00E97797"/>
    <w:rsid w:val="00EA044B"/>
    <w:rsid w:val="00EA19B2"/>
    <w:rsid w:val="00EA349D"/>
    <w:rsid w:val="00EA3ED9"/>
    <w:rsid w:val="00EA40E8"/>
    <w:rsid w:val="00EA6831"/>
    <w:rsid w:val="00EA6F2F"/>
    <w:rsid w:val="00EA6FE2"/>
    <w:rsid w:val="00EB102C"/>
    <w:rsid w:val="00EB1C0E"/>
    <w:rsid w:val="00EB2277"/>
    <w:rsid w:val="00EB4566"/>
    <w:rsid w:val="00EB5386"/>
    <w:rsid w:val="00EB6CD9"/>
    <w:rsid w:val="00EB6D30"/>
    <w:rsid w:val="00EB6F3A"/>
    <w:rsid w:val="00EB7E60"/>
    <w:rsid w:val="00EC0F6F"/>
    <w:rsid w:val="00EC336B"/>
    <w:rsid w:val="00EC4BE7"/>
    <w:rsid w:val="00EC5369"/>
    <w:rsid w:val="00ED024B"/>
    <w:rsid w:val="00ED0C6F"/>
    <w:rsid w:val="00ED0EC4"/>
    <w:rsid w:val="00ED1E2A"/>
    <w:rsid w:val="00ED2303"/>
    <w:rsid w:val="00ED3249"/>
    <w:rsid w:val="00ED5986"/>
    <w:rsid w:val="00ED617D"/>
    <w:rsid w:val="00EE12BC"/>
    <w:rsid w:val="00EE3DE8"/>
    <w:rsid w:val="00EE51C6"/>
    <w:rsid w:val="00EE5BE0"/>
    <w:rsid w:val="00EE68FA"/>
    <w:rsid w:val="00EE7CFC"/>
    <w:rsid w:val="00EF0895"/>
    <w:rsid w:val="00EF16FF"/>
    <w:rsid w:val="00EF29D6"/>
    <w:rsid w:val="00EF39E5"/>
    <w:rsid w:val="00EF4DFF"/>
    <w:rsid w:val="00EF4F05"/>
    <w:rsid w:val="00EF7A72"/>
    <w:rsid w:val="00F0269E"/>
    <w:rsid w:val="00F02A0B"/>
    <w:rsid w:val="00F041E3"/>
    <w:rsid w:val="00F0499C"/>
    <w:rsid w:val="00F05317"/>
    <w:rsid w:val="00F054E3"/>
    <w:rsid w:val="00F05A30"/>
    <w:rsid w:val="00F05EBD"/>
    <w:rsid w:val="00F064F2"/>
    <w:rsid w:val="00F1159B"/>
    <w:rsid w:val="00F12BEA"/>
    <w:rsid w:val="00F1484E"/>
    <w:rsid w:val="00F156F6"/>
    <w:rsid w:val="00F16439"/>
    <w:rsid w:val="00F16FF4"/>
    <w:rsid w:val="00F17167"/>
    <w:rsid w:val="00F172E7"/>
    <w:rsid w:val="00F20447"/>
    <w:rsid w:val="00F208C0"/>
    <w:rsid w:val="00F2137F"/>
    <w:rsid w:val="00F221CC"/>
    <w:rsid w:val="00F22F0A"/>
    <w:rsid w:val="00F27441"/>
    <w:rsid w:val="00F3061C"/>
    <w:rsid w:val="00F31388"/>
    <w:rsid w:val="00F31AB8"/>
    <w:rsid w:val="00F358FE"/>
    <w:rsid w:val="00F37897"/>
    <w:rsid w:val="00F40691"/>
    <w:rsid w:val="00F406AD"/>
    <w:rsid w:val="00F428EA"/>
    <w:rsid w:val="00F441B8"/>
    <w:rsid w:val="00F44C10"/>
    <w:rsid w:val="00F44F67"/>
    <w:rsid w:val="00F46C0E"/>
    <w:rsid w:val="00F473A9"/>
    <w:rsid w:val="00F51371"/>
    <w:rsid w:val="00F51A4B"/>
    <w:rsid w:val="00F51F82"/>
    <w:rsid w:val="00F5200B"/>
    <w:rsid w:val="00F535ED"/>
    <w:rsid w:val="00F566A7"/>
    <w:rsid w:val="00F60A96"/>
    <w:rsid w:val="00F61503"/>
    <w:rsid w:val="00F62F8A"/>
    <w:rsid w:val="00F63271"/>
    <w:rsid w:val="00F64DEA"/>
    <w:rsid w:val="00F67C2D"/>
    <w:rsid w:val="00F7050E"/>
    <w:rsid w:val="00F705B3"/>
    <w:rsid w:val="00F73039"/>
    <w:rsid w:val="00F742D0"/>
    <w:rsid w:val="00F7590E"/>
    <w:rsid w:val="00F814FF"/>
    <w:rsid w:val="00F81C1E"/>
    <w:rsid w:val="00F83168"/>
    <w:rsid w:val="00F83FFD"/>
    <w:rsid w:val="00F84CC3"/>
    <w:rsid w:val="00F87234"/>
    <w:rsid w:val="00F9063B"/>
    <w:rsid w:val="00F91F4C"/>
    <w:rsid w:val="00F93D91"/>
    <w:rsid w:val="00F94824"/>
    <w:rsid w:val="00F948BF"/>
    <w:rsid w:val="00F94917"/>
    <w:rsid w:val="00F949E3"/>
    <w:rsid w:val="00F94FC8"/>
    <w:rsid w:val="00F9503B"/>
    <w:rsid w:val="00F95A7E"/>
    <w:rsid w:val="00F97013"/>
    <w:rsid w:val="00F97C3B"/>
    <w:rsid w:val="00FA00A3"/>
    <w:rsid w:val="00FA25DF"/>
    <w:rsid w:val="00FA2B33"/>
    <w:rsid w:val="00FA4EA2"/>
    <w:rsid w:val="00FA5F1E"/>
    <w:rsid w:val="00FA7379"/>
    <w:rsid w:val="00FB0443"/>
    <w:rsid w:val="00FB62F5"/>
    <w:rsid w:val="00FB6C6E"/>
    <w:rsid w:val="00FB7B1F"/>
    <w:rsid w:val="00FC15F9"/>
    <w:rsid w:val="00FC19C8"/>
    <w:rsid w:val="00FC1BD8"/>
    <w:rsid w:val="00FC2BBC"/>
    <w:rsid w:val="00FC3763"/>
    <w:rsid w:val="00FC3E1B"/>
    <w:rsid w:val="00FC6B5D"/>
    <w:rsid w:val="00FC6CD4"/>
    <w:rsid w:val="00FC6CF4"/>
    <w:rsid w:val="00FC7DA6"/>
    <w:rsid w:val="00FC7FD4"/>
    <w:rsid w:val="00FD1922"/>
    <w:rsid w:val="00FD194D"/>
    <w:rsid w:val="00FD239F"/>
    <w:rsid w:val="00FD2A4B"/>
    <w:rsid w:val="00FD2B60"/>
    <w:rsid w:val="00FD4247"/>
    <w:rsid w:val="00FD57C2"/>
    <w:rsid w:val="00FD6E49"/>
    <w:rsid w:val="00FD78D3"/>
    <w:rsid w:val="00FE1942"/>
    <w:rsid w:val="00FE2CC3"/>
    <w:rsid w:val="00FE46A4"/>
    <w:rsid w:val="00FE66A3"/>
    <w:rsid w:val="00FE6881"/>
    <w:rsid w:val="00FF2C4E"/>
    <w:rsid w:val="00FF75E6"/>
    <w:rsid w:val="01007E42"/>
    <w:rsid w:val="01017684"/>
    <w:rsid w:val="01023293"/>
    <w:rsid w:val="01037053"/>
    <w:rsid w:val="01064C9A"/>
    <w:rsid w:val="01066379"/>
    <w:rsid w:val="010D6029"/>
    <w:rsid w:val="010F1DA1"/>
    <w:rsid w:val="01142224"/>
    <w:rsid w:val="01145609"/>
    <w:rsid w:val="011B1E5F"/>
    <w:rsid w:val="011B6997"/>
    <w:rsid w:val="011E0236"/>
    <w:rsid w:val="011E1FE4"/>
    <w:rsid w:val="01275D20"/>
    <w:rsid w:val="01282E62"/>
    <w:rsid w:val="012B4701"/>
    <w:rsid w:val="012F5F9F"/>
    <w:rsid w:val="01303AC5"/>
    <w:rsid w:val="01311D17"/>
    <w:rsid w:val="0132783D"/>
    <w:rsid w:val="0136732D"/>
    <w:rsid w:val="013B2B96"/>
    <w:rsid w:val="013B330F"/>
    <w:rsid w:val="013C690E"/>
    <w:rsid w:val="013E4434"/>
    <w:rsid w:val="013E61E2"/>
    <w:rsid w:val="01401F5A"/>
    <w:rsid w:val="014A4B87"/>
    <w:rsid w:val="014B08FF"/>
    <w:rsid w:val="014F6641"/>
    <w:rsid w:val="014F6EDE"/>
    <w:rsid w:val="01505F15"/>
    <w:rsid w:val="01543C57"/>
    <w:rsid w:val="0156352C"/>
    <w:rsid w:val="01563F22"/>
    <w:rsid w:val="015B4FE6"/>
    <w:rsid w:val="015E4AD6"/>
    <w:rsid w:val="01635C49"/>
    <w:rsid w:val="016519C1"/>
    <w:rsid w:val="0167398B"/>
    <w:rsid w:val="0168700A"/>
    <w:rsid w:val="016A164F"/>
    <w:rsid w:val="016A306B"/>
    <w:rsid w:val="016A347B"/>
    <w:rsid w:val="016A6FD7"/>
    <w:rsid w:val="016C149F"/>
    <w:rsid w:val="016F45ED"/>
    <w:rsid w:val="01706EDD"/>
    <w:rsid w:val="017165B7"/>
    <w:rsid w:val="01722330"/>
    <w:rsid w:val="017240DE"/>
    <w:rsid w:val="01760231"/>
    <w:rsid w:val="017716F4"/>
    <w:rsid w:val="017734C4"/>
    <w:rsid w:val="01785B98"/>
    <w:rsid w:val="01814321"/>
    <w:rsid w:val="01864D83"/>
    <w:rsid w:val="01883901"/>
    <w:rsid w:val="018A1427"/>
    <w:rsid w:val="018A7679"/>
    <w:rsid w:val="018C1643"/>
    <w:rsid w:val="018E53BB"/>
    <w:rsid w:val="01910A08"/>
    <w:rsid w:val="019276A6"/>
    <w:rsid w:val="01934780"/>
    <w:rsid w:val="019422A6"/>
    <w:rsid w:val="01953A50"/>
    <w:rsid w:val="01967DCC"/>
    <w:rsid w:val="019A5532"/>
    <w:rsid w:val="019D73AC"/>
    <w:rsid w:val="019E4ED3"/>
    <w:rsid w:val="01A56261"/>
    <w:rsid w:val="01AA4085"/>
    <w:rsid w:val="01AA7D1B"/>
    <w:rsid w:val="01AF70E0"/>
    <w:rsid w:val="01B85F94"/>
    <w:rsid w:val="01BE7323"/>
    <w:rsid w:val="01C87EA6"/>
    <w:rsid w:val="01C963F3"/>
    <w:rsid w:val="01CA216C"/>
    <w:rsid w:val="01CC7C92"/>
    <w:rsid w:val="01CF32DE"/>
    <w:rsid w:val="01D152A8"/>
    <w:rsid w:val="01D408F4"/>
    <w:rsid w:val="01D54D98"/>
    <w:rsid w:val="01D5675C"/>
    <w:rsid w:val="01D628BE"/>
    <w:rsid w:val="01DB1C83"/>
    <w:rsid w:val="01DE1665"/>
    <w:rsid w:val="01E054EB"/>
    <w:rsid w:val="01E46D89"/>
    <w:rsid w:val="01E50D53"/>
    <w:rsid w:val="01E66FA5"/>
    <w:rsid w:val="01EB45BC"/>
    <w:rsid w:val="01EC0334"/>
    <w:rsid w:val="01EC3E90"/>
    <w:rsid w:val="01F176F8"/>
    <w:rsid w:val="01F3521E"/>
    <w:rsid w:val="01F376F8"/>
    <w:rsid w:val="01F600EE"/>
    <w:rsid w:val="01F62F61"/>
    <w:rsid w:val="01F82835"/>
    <w:rsid w:val="01FD3E07"/>
    <w:rsid w:val="01FD609D"/>
    <w:rsid w:val="01FD7E4B"/>
    <w:rsid w:val="01FE5297"/>
    <w:rsid w:val="01FF3BC3"/>
    <w:rsid w:val="020236B3"/>
    <w:rsid w:val="02025A9F"/>
    <w:rsid w:val="0206313E"/>
    <w:rsid w:val="02076F1C"/>
    <w:rsid w:val="020A2568"/>
    <w:rsid w:val="020A5DD5"/>
    <w:rsid w:val="020E4D8C"/>
    <w:rsid w:val="02105DD0"/>
    <w:rsid w:val="0213141D"/>
    <w:rsid w:val="021533E7"/>
    <w:rsid w:val="021B47BF"/>
    <w:rsid w:val="021F6013"/>
    <w:rsid w:val="02217FDE"/>
    <w:rsid w:val="02225B04"/>
    <w:rsid w:val="0229063E"/>
    <w:rsid w:val="02296E92"/>
    <w:rsid w:val="022A6766"/>
    <w:rsid w:val="022C0730"/>
    <w:rsid w:val="022E26FA"/>
    <w:rsid w:val="022E6257"/>
    <w:rsid w:val="02300221"/>
    <w:rsid w:val="02313F99"/>
    <w:rsid w:val="02327E75"/>
    <w:rsid w:val="02331ABF"/>
    <w:rsid w:val="0233386D"/>
    <w:rsid w:val="02343362"/>
    <w:rsid w:val="0236335D"/>
    <w:rsid w:val="023B0973"/>
    <w:rsid w:val="023B6BC5"/>
    <w:rsid w:val="0242796A"/>
    <w:rsid w:val="02467A44"/>
    <w:rsid w:val="0247556A"/>
    <w:rsid w:val="02493090"/>
    <w:rsid w:val="024C0DD3"/>
    <w:rsid w:val="024C49DC"/>
    <w:rsid w:val="02502671"/>
    <w:rsid w:val="02512F75"/>
    <w:rsid w:val="02533F0F"/>
    <w:rsid w:val="025739FF"/>
    <w:rsid w:val="025B05AE"/>
    <w:rsid w:val="025C1016"/>
    <w:rsid w:val="025F0B06"/>
    <w:rsid w:val="0261487E"/>
    <w:rsid w:val="026223A4"/>
    <w:rsid w:val="026305F6"/>
    <w:rsid w:val="02661E94"/>
    <w:rsid w:val="02671768"/>
    <w:rsid w:val="026B3007"/>
    <w:rsid w:val="027125E7"/>
    <w:rsid w:val="027345B1"/>
    <w:rsid w:val="02750329"/>
    <w:rsid w:val="027F4D04"/>
    <w:rsid w:val="0281282A"/>
    <w:rsid w:val="0284231A"/>
    <w:rsid w:val="028642E4"/>
    <w:rsid w:val="02867E41"/>
    <w:rsid w:val="02880C6E"/>
    <w:rsid w:val="02897931"/>
    <w:rsid w:val="028E3199"/>
    <w:rsid w:val="02902A6D"/>
    <w:rsid w:val="02921D28"/>
    <w:rsid w:val="02963DFC"/>
    <w:rsid w:val="02985DC6"/>
    <w:rsid w:val="029C1412"/>
    <w:rsid w:val="029C7664"/>
    <w:rsid w:val="029E7AD0"/>
    <w:rsid w:val="029F0F02"/>
    <w:rsid w:val="02A16E70"/>
    <w:rsid w:val="02A209F3"/>
    <w:rsid w:val="02A36C44"/>
    <w:rsid w:val="02A604E3"/>
    <w:rsid w:val="02A8425B"/>
    <w:rsid w:val="02A86B17"/>
    <w:rsid w:val="02A91D81"/>
    <w:rsid w:val="02AD361F"/>
    <w:rsid w:val="02B01361"/>
    <w:rsid w:val="02B04EBD"/>
    <w:rsid w:val="02B20C36"/>
    <w:rsid w:val="02B349AE"/>
    <w:rsid w:val="02B3536B"/>
    <w:rsid w:val="02B40E52"/>
    <w:rsid w:val="02B63DBC"/>
    <w:rsid w:val="02BA0F2C"/>
    <w:rsid w:val="02BD75DA"/>
    <w:rsid w:val="02BE118E"/>
    <w:rsid w:val="02BF4D9E"/>
    <w:rsid w:val="02C1356F"/>
    <w:rsid w:val="02C31095"/>
    <w:rsid w:val="02C62933"/>
    <w:rsid w:val="02C95F7F"/>
    <w:rsid w:val="02CD3CC1"/>
    <w:rsid w:val="02CF7A3A"/>
    <w:rsid w:val="02D05D23"/>
    <w:rsid w:val="02D212D8"/>
    <w:rsid w:val="02D316F5"/>
    <w:rsid w:val="02D36DFE"/>
    <w:rsid w:val="02D64E81"/>
    <w:rsid w:val="02DD3BBA"/>
    <w:rsid w:val="02DD578B"/>
    <w:rsid w:val="02DE5584"/>
    <w:rsid w:val="02E37041"/>
    <w:rsid w:val="02E4100B"/>
    <w:rsid w:val="02E556E0"/>
    <w:rsid w:val="02E5725D"/>
    <w:rsid w:val="02E66B31"/>
    <w:rsid w:val="02E74E3B"/>
    <w:rsid w:val="02EA4873"/>
    <w:rsid w:val="02ED1C6E"/>
    <w:rsid w:val="02F2197A"/>
    <w:rsid w:val="02F32FFC"/>
    <w:rsid w:val="02F53218"/>
    <w:rsid w:val="02F545EC"/>
    <w:rsid w:val="02F61B78"/>
    <w:rsid w:val="02F81D0F"/>
    <w:rsid w:val="02F92D08"/>
    <w:rsid w:val="02FA30D3"/>
    <w:rsid w:val="03000C14"/>
    <w:rsid w:val="03015719"/>
    <w:rsid w:val="03035935"/>
    <w:rsid w:val="03084CFA"/>
    <w:rsid w:val="03090322"/>
    <w:rsid w:val="030D0562"/>
    <w:rsid w:val="03123DCA"/>
    <w:rsid w:val="03127926"/>
    <w:rsid w:val="0314369E"/>
    <w:rsid w:val="03190CB5"/>
    <w:rsid w:val="031C07A5"/>
    <w:rsid w:val="031E3529"/>
    <w:rsid w:val="0320447C"/>
    <w:rsid w:val="032759B1"/>
    <w:rsid w:val="03292BFF"/>
    <w:rsid w:val="032A4C70"/>
    <w:rsid w:val="032B6C3A"/>
    <w:rsid w:val="032D29B2"/>
    <w:rsid w:val="03306B96"/>
    <w:rsid w:val="0332621A"/>
    <w:rsid w:val="033306F3"/>
    <w:rsid w:val="03391357"/>
    <w:rsid w:val="033C0E47"/>
    <w:rsid w:val="0341020B"/>
    <w:rsid w:val="034252E5"/>
    <w:rsid w:val="034321D6"/>
    <w:rsid w:val="03465822"/>
    <w:rsid w:val="034A3347"/>
    <w:rsid w:val="034A3564"/>
    <w:rsid w:val="035166A0"/>
    <w:rsid w:val="035241C7"/>
    <w:rsid w:val="03575C81"/>
    <w:rsid w:val="03577A2F"/>
    <w:rsid w:val="03597303"/>
    <w:rsid w:val="035D1B13"/>
    <w:rsid w:val="035E2B6B"/>
    <w:rsid w:val="035E4919"/>
    <w:rsid w:val="0361440A"/>
    <w:rsid w:val="03633EEE"/>
    <w:rsid w:val="03653EFA"/>
    <w:rsid w:val="03654808"/>
    <w:rsid w:val="03661A20"/>
    <w:rsid w:val="03681C3C"/>
    <w:rsid w:val="036A59B4"/>
    <w:rsid w:val="036D2DAF"/>
    <w:rsid w:val="036F159C"/>
    <w:rsid w:val="0371289F"/>
    <w:rsid w:val="03722553"/>
    <w:rsid w:val="0374413D"/>
    <w:rsid w:val="037B2B57"/>
    <w:rsid w:val="037B371D"/>
    <w:rsid w:val="037B54CB"/>
    <w:rsid w:val="037C1244"/>
    <w:rsid w:val="037E320E"/>
    <w:rsid w:val="03830824"/>
    <w:rsid w:val="038325D2"/>
    <w:rsid w:val="038500F8"/>
    <w:rsid w:val="0385634A"/>
    <w:rsid w:val="038D51FF"/>
    <w:rsid w:val="03942A31"/>
    <w:rsid w:val="03971204"/>
    <w:rsid w:val="039B791C"/>
    <w:rsid w:val="039E565E"/>
    <w:rsid w:val="03A013D6"/>
    <w:rsid w:val="03A04F32"/>
    <w:rsid w:val="03A07AD7"/>
    <w:rsid w:val="03A314FC"/>
    <w:rsid w:val="03A70453"/>
    <w:rsid w:val="03AA4003"/>
    <w:rsid w:val="03AA5DB1"/>
    <w:rsid w:val="03B121B2"/>
    <w:rsid w:val="03B15391"/>
    <w:rsid w:val="03B46C2F"/>
    <w:rsid w:val="03BC7892"/>
    <w:rsid w:val="03BE360A"/>
    <w:rsid w:val="03C07382"/>
    <w:rsid w:val="03C2759E"/>
    <w:rsid w:val="03C41DFB"/>
    <w:rsid w:val="03C50E3C"/>
    <w:rsid w:val="03C54999"/>
    <w:rsid w:val="03CA1FAF"/>
    <w:rsid w:val="03CC1A1D"/>
    <w:rsid w:val="03CC3F79"/>
    <w:rsid w:val="03CE5F43"/>
    <w:rsid w:val="03D1158F"/>
    <w:rsid w:val="03D33559"/>
    <w:rsid w:val="03D51C53"/>
    <w:rsid w:val="03D60954"/>
    <w:rsid w:val="03DD1CE2"/>
    <w:rsid w:val="03DE3CAC"/>
    <w:rsid w:val="03DF1EFE"/>
    <w:rsid w:val="03E05C76"/>
    <w:rsid w:val="03E70DB3"/>
    <w:rsid w:val="03E868D9"/>
    <w:rsid w:val="03EC73DD"/>
    <w:rsid w:val="03EF2CE9"/>
    <w:rsid w:val="03EF7C67"/>
    <w:rsid w:val="03F139E0"/>
    <w:rsid w:val="03F1578E"/>
    <w:rsid w:val="03F31506"/>
    <w:rsid w:val="03F355D2"/>
    <w:rsid w:val="03FF434E"/>
    <w:rsid w:val="04003C23"/>
    <w:rsid w:val="04043713"/>
    <w:rsid w:val="0405748B"/>
    <w:rsid w:val="04074FB1"/>
    <w:rsid w:val="04082AD7"/>
    <w:rsid w:val="0409628C"/>
    <w:rsid w:val="040E6340"/>
    <w:rsid w:val="0412660D"/>
    <w:rsid w:val="041476CE"/>
    <w:rsid w:val="041E2D7D"/>
    <w:rsid w:val="04216017"/>
    <w:rsid w:val="04221DEB"/>
    <w:rsid w:val="04223B99"/>
    <w:rsid w:val="0423034F"/>
    <w:rsid w:val="04230507"/>
    <w:rsid w:val="04247911"/>
    <w:rsid w:val="04253689"/>
    <w:rsid w:val="0426158D"/>
    <w:rsid w:val="04263D68"/>
    <w:rsid w:val="042913CB"/>
    <w:rsid w:val="0429339A"/>
    <w:rsid w:val="042B650B"/>
    <w:rsid w:val="042C0EBC"/>
    <w:rsid w:val="042E24FA"/>
    <w:rsid w:val="04363AE8"/>
    <w:rsid w:val="04387860"/>
    <w:rsid w:val="043E7C97"/>
    <w:rsid w:val="044615E4"/>
    <w:rsid w:val="044B1A22"/>
    <w:rsid w:val="044B7594"/>
    <w:rsid w:val="044C2F6F"/>
    <w:rsid w:val="045301F6"/>
    <w:rsid w:val="04553F6E"/>
    <w:rsid w:val="04567CE7"/>
    <w:rsid w:val="0458580D"/>
    <w:rsid w:val="045D52C7"/>
    <w:rsid w:val="045F404A"/>
    <w:rsid w:val="045F4DED"/>
    <w:rsid w:val="04610AB3"/>
    <w:rsid w:val="046201A6"/>
    <w:rsid w:val="04673CA2"/>
    <w:rsid w:val="04680BC2"/>
    <w:rsid w:val="04695C6C"/>
    <w:rsid w:val="046C3066"/>
    <w:rsid w:val="046D4DBC"/>
    <w:rsid w:val="04706FFA"/>
    <w:rsid w:val="04754611"/>
    <w:rsid w:val="04762137"/>
    <w:rsid w:val="04784101"/>
    <w:rsid w:val="047E7637"/>
    <w:rsid w:val="047F2D99"/>
    <w:rsid w:val="048E56D2"/>
    <w:rsid w:val="04926F71"/>
    <w:rsid w:val="04932CE9"/>
    <w:rsid w:val="049A7BD3"/>
    <w:rsid w:val="049C7DEF"/>
    <w:rsid w:val="049D565A"/>
    <w:rsid w:val="049F51EA"/>
    <w:rsid w:val="04A44EF6"/>
    <w:rsid w:val="04A46CA4"/>
    <w:rsid w:val="04A62A1C"/>
    <w:rsid w:val="04A70542"/>
    <w:rsid w:val="04A87389"/>
    <w:rsid w:val="04AB1DE0"/>
    <w:rsid w:val="04AC72EC"/>
    <w:rsid w:val="04AE18D1"/>
    <w:rsid w:val="04AE367F"/>
    <w:rsid w:val="04B0389B"/>
    <w:rsid w:val="04B35139"/>
    <w:rsid w:val="04B8274F"/>
    <w:rsid w:val="04B869D7"/>
    <w:rsid w:val="04C11604"/>
    <w:rsid w:val="04C609C8"/>
    <w:rsid w:val="04C640B6"/>
    <w:rsid w:val="04C64E6C"/>
    <w:rsid w:val="04C904B8"/>
    <w:rsid w:val="04D05CEB"/>
    <w:rsid w:val="04D16A79"/>
    <w:rsid w:val="04D31337"/>
    <w:rsid w:val="04D37589"/>
    <w:rsid w:val="04D72BD5"/>
    <w:rsid w:val="04DC643E"/>
    <w:rsid w:val="04E2157A"/>
    <w:rsid w:val="04E23328"/>
    <w:rsid w:val="04E25CD9"/>
    <w:rsid w:val="04E35A1E"/>
    <w:rsid w:val="04E452F2"/>
    <w:rsid w:val="04E62E18"/>
    <w:rsid w:val="04EB48D3"/>
    <w:rsid w:val="04EB6681"/>
    <w:rsid w:val="04EF2002"/>
    <w:rsid w:val="04F0325B"/>
    <w:rsid w:val="04F321BB"/>
    <w:rsid w:val="04F44F0C"/>
    <w:rsid w:val="04FC088E"/>
    <w:rsid w:val="04FC263C"/>
    <w:rsid w:val="04FC6AE0"/>
    <w:rsid w:val="05015EA4"/>
    <w:rsid w:val="05045994"/>
    <w:rsid w:val="050B17DB"/>
    <w:rsid w:val="050D2A9B"/>
    <w:rsid w:val="050E236F"/>
    <w:rsid w:val="0511667E"/>
    <w:rsid w:val="05177476"/>
    <w:rsid w:val="0518120E"/>
    <w:rsid w:val="0518627B"/>
    <w:rsid w:val="05190704"/>
    <w:rsid w:val="05191440"/>
    <w:rsid w:val="051A5F1D"/>
    <w:rsid w:val="051C683A"/>
    <w:rsid w:val="051C7D2B"/>
    <w:rsid w:val="051E25B2"/>
    <w:rsid w:val="051E6A56"/>
    <w:rsid w:val="052878D5"/>
    <w:rsid w:val="052D6C99"/>
    <w:rsid w:val="053242A8"/>
    <w:rsid w:val="053242B0"/>
    <w:rsid w:val="053566BD"/>
    <w:rsid w:val="053718C6"/>
    <w:rsid w:val="0539563E"/>
    <w:rsid w:val="053A4F12"/>
    <w:rsid w:val="053C0C8A"/>
    <w:rsid w:val="05404C1F"/>
    <w:rsid w:val="0542447B"/>
    <w:rsid w:val="05445D91"/>
    <w:rsid w:val="05452235"/>
    <w:rsid w:val="05461B09"/>
    <w:rsid w:val="054933A7"/>
    <w:rsid w:val="054F6C10"/>
    <w:rsid w:val="05502988"/>
    <w:rsid w:val="05504736"/>
    <w:rsid w:val="055204AE"/>
    <w:rsid w:val="05573D16"/>
    <w:rsid w:val="05595CE0"/>
    <w:rsid w:val="05597A8E"/>
    <w:rsid w:val="055A7363"/>
    <w:rsid w:val="055C132D"/>
    <w:rsid w:val="05600E1D"/>
    <w:rsid w:val="0560706F"/>
    <w:rsid w:val="056106F1"/>
    <w:rsid w:val="05614B95"/>
    <w:rsid w:val="056C5FA6"/>
    <w:rsid w:val="056C6B67"/>
    <w:rsid w:val="05704DD8"/>
    <w:rsid w:val="057228FE"/>
    <w:rsid w:val="05726DA2"/>
    <w:rsid w:val="057332A8"/>
    <w:rsid w:val="057448C8"/>
    <w:rsid w:val="057523EE"/>
    <w:rsid w:val="05791EDF"/>
    <w:rsid w:val="057B7AFF"/>
    <w:rsid w:val="057E5747"/>
    <w:rsid w:val="057E74F5"/>
    <w:rsid w:val="0580226C"/>
    <w:rsid w:val="05810D93"/>
    <w:rsid w:val="05872BAE"/>
    <w:rsid w:val="0587317A"/>
    <w:rsid w:val="0587524D"/>
    <w:rsid w:val="058A5E9A"/>
    <w:rsid w:val="058B39C0"/>
    <w:rsid w:val="058D14E6"/>
    <w:rsid w:val="058D598A"/>
    <w:rsid w:val="058D6A20"/>
    <w:rsid w:val="058D7738"/>
    <w:rsid w:val="0591547A"/>
    <w:rsid w:val="05937513"/>
    <w:rsid w:val="05942874"/>
    <w:rsid w:val="05946D18"/>
    <w:rsid w:val="059705B7"/>
    <w:rsid w:val="05976809"/>
    <w:rsid w:val="059960DD"/>
    <w:rsid w:val="05997E8B"/>
    <w:rsid w:val="059B2E14"/>
    <w:rsid w:val="059C5BCD"/>
    <w:rsid w:val="059C797B"/>
    <w:rsid w:val="059D3E1F"/>
    <w:rsid w:val="059E36F3"/>
    <w:rsid w:val="059E5DC5"/>
    <w:rsid w:val="05A14F91"/>
    <w:rsid w:val="05A50F26"/>
    <w:rsid w:val="05A54A82"/>
    <w:rsid w:val="05A97689"/>
    <w:rsid w:val="05AA531D"/>
    <w:rsid w:val="05AC4062"/>
    <w:rsid w:val="05AF76AE"/>
    <w:rsid w:val="05B13426"/>
    <w:rsid w:val="05B2719F"/>
    <w:rsid w:val="05B3330C"/>
    <w:rsid w:val="05B3687C"/>
    <w:rsid w:val="05B64EE1"/>
    <w:rsid w:val="05B777F8"/>
    <w:rsid w:val="05B945AD"/>
    <w:rsid w:val="05BB42A5"/>
    <w:rsid w:val="05BB6053"/>
    <w:rsid w:val="05BC001D"/>
    <w:rsid w:val="05BE3D95"/>
    <w:rsid w:val="05BE5B43"/>
    <w:rsid w:val="05C3315A"/>
    <w:rsid w:val="05C84C14"/>
    <w:rsid w:val="05C869C2"/>
    <w:rsid w:val="05C9341B"/>
    <w:rsid w:val="05CB200E"/>
    <w:rsid w:val="05CC0260"/>
    <w:rsid w:val="05CD3179"/>
    <w:rsid w:val="05CF1AFF"/>
    <w:rsid w:val="05D067D9"/>
    <w:rsid w:val="05DB04A3"/>
    <w:rsid w:val="05DC4FCD"/>
    <w:rsid w:val="05DE61E6"/>
    <w:rsid w:val="05E11832"/>
    <w:rsid w:val="05E8737A"/>
    <w:rsid w:val="05EA4B8A"/>
    <w:rsid w:val="05EC5CFB"/>
    <w:rsid w:val="05ED6429"/>
    <w:rsid w:val="05EF03F3"/>
    <w:rsid w:val="05EF21A1"/>
    <w:rsid w:val="05F3571B"/>
    <w:rsid w:val="05F41565"/>
    <w:rsid w:val="05FB0B46"/>
    <w:rsid w:val="05FB28F4"/>
    <w:rsid w:val="05FB6D97"/>
    <w:rsid w:val="05FE190F"/>
    <w:rsid w:val="05FE23E4"/>
    <w:rsid w:val="06023C82"/>
    <w:rsid w:val="060519C4"/>
    <w:rsid w:val="0607573C"/>
    <w:rsid w:val="060914B4"/>
    <w:rsid w:val="060D266C"/>
    <w:rsid w:val="061439B5"/>
    <w:rsid w:val="06146715"/>
    <w:rsid w:val="0616597F"/>
    <w:rsid w:val="06173888"/>
    <w:rsid w:val="0619721E"/>
    <w:rsid w:val="06201525"/>
    <w:rsid w:val="06212BFD"/>
    <w:rsid w:val="06257970"/>
    <w:rsid w:val="062736E9"/>
    <w:rsid w:val="062A142B"/>
    <w:rsid w:val="062F259D"/>
    <w:rsid w:val="063046E0"/>
    <w:rsid w:val="06306B73"/>
    <w:rsid w:val="06316315"/>
    <w:rsid w:val="0634792B"/>
    <w:rsid w:val="06367DD0"/>
    <w:rsid w:val="06380A36"/>
    <w:rsid w:val="063C6088"/>
    <w:rsid w:val="063E0A32"/>
    <w:rsid w:val="063E13F9"/>
    <w:rsid w:val="063F4ED6"/>
    <w:rsid w:val="063F6C84"/>
    <w:rsid w:val="064047AA"/>
    <w:rsid w:val="06436049"/>
    <w:rsid w:val="064724EB"/>
    <w:rsid w:val="064918B1"/>
    <w:rsid w:val="06540256"/>
    <w:rsid w:val="06562220"/>
    <w:rsid w:val="0659586C"/>
    <w:rsid w:val="065A1D10"/>
    <w:rsid w:val="065B15E4"/>
    <w:rsid w:val="065B5A88"/>
    <w:rsid w:val="065D35AE"/>
    <w:rsid w:val="0661309E"/>
    <w:rsid w:val="06614D64"/>
    <w:rsid w:val="066C37F1"/>
    <w:rsid w:val="066D0A5C"/>
    <w:rsid w:val="066E7569"/>
    <w:rsid w:val="0671705A"/>
    <w:rsid w:val="0673692E"/>
    <w:rsid w:val="06744454"/>
    <w:rsid w:val="06750C66"/>
    <w:rsid w:val="067F52D3"/>
    <w:rsid w:val="06823015"/>
    <w:rsid w:val="06824DC3"/>
    <w:rsid w:val="06840B3B"/>
    <w:rsid w:val="068444C5"/>
    <w:rsid w:val="06860DE2"/>
    <w:rsid w:val="06862B05"/>
    <w:rsid w:val="06896151"/>
    <w:rsid w:val="06914018"/>
    <w:rsid w:val="06935222"/>
    <w:rsid w:val="06973455"/>
    <w:rsid w:val="06986394"/>
    <w:rsid w:val="069B4C5C"/>
    <w:rsid w:val="069B7C33"/>
    <w:rsid w:val="069C40D7"/>
    <w:rsid w:val="069C5240"/>
    <w:rsid w:val="069E34B0"/>
    <w:rsid w:val="06A04125"/>
    <w:rsid w:val="06A66D03"/>
    <w:rsid w:val="06A85634"/>
    <w:rsid w:val="06A905C3"/>
    <w:rsid w:val="06AC0498"/>
    <w:rsid w:val="06AE7966"/>
    <w:rsid w:val="06B01930"/>
    <w:rsid w:val="06B07B82"/>
    <w:rsid w:val="06B308C5"/>
    <w:rsid w:val="06B34F7C"/>
    <w:rsid w:val="06B61737"/>
    <w:rsid w:val="06BA27AF"/>
    <w:rsid w:val="06BA455D"/>
    <w:rsid w:val="06BA630B"/>
    <w:rsid w:val="06C61153"/>
    <w:rsid w:val="06C62F02"/>
    <w:rsid w:val="06C76C7A"/>
    <w:rsid w:val="06C948D6"/>
    <w:rsid w:val="06CD24E2"/>
    <w:rsid w:val="06D25D4A"/>
    <w:rsid w:val="06D27AF8"/>
    <w:rsid w:val="06D373CC"/>
    <w:rsid w:val="06D53145"/>
    <w:rsid w:val="06D721B0"/>
    <w:rsid w:val="06DA075B"/>
    <w:rsid w:val="06DB7470"/>
    <w:rsid w:val="06DD024B"/>
    <w:rsid w:val="06DD649D"/>
    <w:rsid w:val="06DE721C"/>
    <w:rsid w:val="06E11AE9"/>
    <w:rsid w:val="06E14A83"/>
    <w:rsid w:val="06E45A7E"/>
    <w:rsid w:val="06E57385"/>
    <w:rsid w:val="06EC66E0"/>
    <w:rsid w:val="06ED4932"/>
    <w:rsid w:val="06EF58D3"/>
    <w:rsid w:val="06F04422"/>
    <w:rsid w:val="06F07F7E"/>
    <w:rsid w:val="06F21F49"/>
    <w:rsid w:val="06F55739"/>
    <w:rsid w:val="06F704BC"/>
    <w:rsid w:val="06FA704F"/>
    <w:rsid w:val="070103DE"/>
    <w:rsid w:val="07026F93"/>
    <w:rsid w:val="070677A2"/>
    <w:rsid w:val="07077B4E"/>
    <w:rsid w:val="07080FDE"/>
    <w:rsid w:val="070D0B30"/>
    <w:rsid w:val="070D6D82"/>
    <w:rsid w:val="07116147"/>
    <w:rsid w:val="071163A2"/>
    <w:rsid w:val="07133C6D"/>
    <w:rsid w:val="07155C37"/>
    <w:rsid w:val="07177C01"/>
    <w:rsid w:val="07195727"/>
    <w:rsid w:val="071B11B5"/>
    <w:rsid w:val="071D4AEC"/>
    <w:rsid w:val="071D689A"/>
    <w:rsid w:val="071E2D3E"/>
    <w:rsid w:val="071F0864"/>
    <w:rsid w:val="07245E7A"/>
    <w:rsid w:val="0724740A"/>
    <w:rsid w:val="07261BF2"/>
    <w:rsid w:val="072A356D"/>
    <w:rsid w:val="072D4D2F"/>
    <w:rsid w:val="07350087"/>
    <w:rsid w:val="073562D9"/>
    <w:rsid w:val="0737795B"/>
    <w:rsid w:val="07377BA8"/>
    <w:rsid w:val="0739256A"/>
    <w:rsid w:val="073D0CEA"/>
    <w:rsid w:val="073E40F6"/>
    <w:rsid w:val="073F4A62"/>
    <w:rsid w:val="07422CDA"/>
    <w:rsid w:val="074309F6"/>
    <w:rsid w:val="07434552"/>
    <w:rsid w:val="0746576F"/>
    <w:rsid w:val="07465DF0"/>
    <w:rsid w:val="074A1932"/>
    <w:rsid w:val="074F15CE"/>
    <w:rsid w:val="07543D37"/>
    <w:rsid w:val="075524D7"/>
    <w:rsid w:val="07556AF7"/>
    <w:rsid w:val="075670CC"/>
    <w:rsid w:val="07571DAC"/>
    <w:rsid w:val="07580B37"/>
    <w:rsid w:val="075C3866"/>
    <w:rsid w:val="075E084C"/>
    <w:rsid w:val="075E138C"/>
    <w:rsid w:val="075E76FE"/>
    <w:rsid w:val="076170CE"/>
    <w:rsid w:val="076369A2"/>
    <w:rsid w:val="07646B0F"/>
    <w:rsid w:val="0765096C"/>
    <w:rsid w:val="07660241"/>
    <w:rsid w:val="07683FB9"/>
    <w:rsid w:val="076D15CF"/>
    <w:rsid w:val="076D5A73"/>
    <w:rsid w:val="076F3599"/>
    <w:rsid w:val="07707311"/>
    <w:rsid w:val="077706A0"/>
    <w:rsid w:val="0777244E"/>
    <w:rsid w:val="077961C6"/>
    <w:rsid w:val="077E558A"/>
    <w:rsid w:val="078132CC"/>
    <w:rsid w:val="07852DBD"/>
    <w:rsid w:val="07854B6B"/>
    <w:rsid w:val="078B7CA7"/>
    <w:rsid w:val="078D7EC3"/>
    <w:rsid w:val="078F59E9"/>
    <w:rsid w:val="07944DAE"/>
    <w:rsid w:val="079A613C"/>
    <w:rsid w:val="079B0BC0"/>
    <w:rsid w:val="079B25E0"/>
    <w:rsid w:val="079C3C62"/>
    <w:rsid w:val="079E79DA"/>
    <w:rsid w:val="07A90142"/>
    <w:rsid w:val="07A912D8"/>
    <w:rsid w:val="07AB77AC"/>
    <w:rsid w:val="07AC659B"/>
    <w:rsid w:val="07AD5E6F"/>
    <w:rsid w:val="07B0770E"/>
    <w:rsid w:val="07B13BB2"/>
    <w:rsid w:val="07B30001"/>
    <w:rsid w:val="07B34DB3"/>
    <w:rsid w:val="07B70A9C"/>
    <w:rsid w:val="07B74F40"/>
    <w:rsid w:val="07B94814"/>
    <w:rsid w:val="07BA233A"/>
    <w:rsid w:val="07BB67DE"/>
    <w:rsid w:val="07BF7C4C"/>
    <w:rsid w:val="07C02047"/>
    <w:rsid w:val="07C03DF5"/>
    <w:rsid w:val="07C338E5"/>
    <w:rsid w:val="07CB4548"/>
    <w:rsid w:val="07CD02C0"/>
    <w:rsid w:val="07CF5DE6"/>
    <w:rsid w:val="07D258D6"/>
    <w:rsid w:val="07D30A7B"/>
    <w:rsid w:val="07D63618"/>
    <w:rsid w:val="07D64B88"/>
    <w:rsid w:val="07D7113E"/>
    <w:rsid w:val="07D77390"/>
    <w:rsid w:val="07D815AB"/>
    <w:rsid w:val="07D96C64"/>
    <w:rsid w:val="07DB478B"/>
    <w:rsid w:val="07DD49A7"/>
    <w:rsid w:val="07DE24CD"/>
    <w:rsid w:val="07E04497"/>
    <w:rsid w:val="07E13D6B"/>
    <w:rsid w:val="07E31891"/>
    <w:rsid w:val="07E35D35"/>
    <w:rsid w:val="07E449F2"/>
    <w:rsid w:val="07E5385B"/>
    <w:rsid w:val="07E775D3"/>
    <w:rsid w:val="07E850FA"/>
    <w:rsid w:val="07EA0E98"/>
    <w:rsid w:val="07EC6998"/>
    <w:rsid w:val="07ED0962"/>
    <w:rsid w:val="07EF3F42"/>
    <w:rsid w:val="07F341CA"/>
    <w:rsid w:val="07F817E1"/>
    <w:rsid w:val="07FA7342"/>
    <w:rsid w:val="07FB4EDF"/>
    <w:rsid w:val="08017F69"/>
    <w:rsid w:val="08055CAB"/>
    <w:rsid w:val="080A32C2"/>
    <w:rsid w:val="080A7436"/>
    <w:rsid w:val="080B2B96"/>
    <w:rsid w:val="080D3086"/>
    <w:rsid w:val="080F2686"/>
    <w:rsid w:val="0812649D"/>
    <w:rsid w:val="08147C9D"/>
    <w:rsid w:val="0817778D"/>
    <w:rsid w:val="081952B3"/>
    <w:rsid w:val="081E0B1B"/>
    <w:rsid w:val="081E4FBF"/>
    <w:rsid w:val="081E6D6D"/>
    <w:rsid w:val="08204893"/>
    <w:rsid w:val="08222A00"/>
    <w:rsid w:val="08253C58"/>
    <w:rsid w:val="082779D0"/>
    <w:rsid w:val="082A3964"/>
    <w:rsid w:val="082F4AD6"/>
    <w:rsid w:val="083245C7"/>
    <w:rsid w:val="08332819"/>
    <w:rsid w:val="08333BEB"/>
    <w:rsid w:val="08346591"/>
    <w:rsid w:val="08353668"/>
    <w:rsid w:val="08365E65"/>
    <w:rsid w:val="0837398B"/>
    <w:rsid w:val="08381BDD"/>
    <w:rsid w:val="08386081"/>
    <w:rsid w:val="083D5445"/>
    <w:rsid w:val="08406CE4"/>
    <w:rsid w:val="0842723E"/>
    <w:rsid w:val="08493DEA"/>
    <w:rsid w:val="084A5DB4"/>
    <w:rsid w:val="084A7B62"/>
    <w:rsid w:val="084B79DF"/>
    <w:rsid w:val="084C7436"/>
    <w:rsid w:val="084F33CB"/>
    <w:rsid w:val="0854453D"/>
    <w:rsid w:val="0855720F"/>
    <w:rsid w:val="0858402D"/>
    <w:rsid w:val="085A0FEF"/>
    <w:rsid w:val="085A5FF7"/>
    <w:rsid w:val="085B1D6F"/>
    <w:rsid w:val="085B4F44"/>
    <w:rsid w:val="085F360E"/>
    <w:rsid w:val="08601134"/>
    <w:rsid w:val="086259AA"/>
    <w:rsid w:val="08641C8D"/>
    <w:rsid w:val="08643BBB"/>
    <w:rsid w:val="08674270"/>
    <w:rsid w:val="0869623A"/>
    <w:rsid w:val="086A5B0F"/>
    <w:rsid w:val="086C5D2B"/>
    <w:rsid w:val="086F1377"/>
    <w:rsid w:val="08713341"/>
    <w:rsid w:val="08732E82"/>
    <w:rsid w:val="08744BDF"/>
    <w:rsid w:val="087723A4"/>
    <w:rsid w:val="0878022B"/>
    <w:rsid w:val="087921F6"/>
    <w:rsid w:val="087F5A5E"/>
    <w:rsid w:val="087F780C"/>
    <w:rsid w:val="088017D6"/>
    <w:rsid w:val="0888740E"/>
    <w:rsid w:val="0889068B"/>
    <w:rsid w:val="088A7F5F"/>
    <w:rsid w:val="088D5F5C"/>
    <w:rsid w:val="088F518C"/>
    <w:rsid w:val="08905AF1"/>
    <w:rsid w:val="08915791"/>
    <w:rsid w:val="08940DDD"/>
    <w:rsid w:val="0895529C"/>
    <w:rsid w:val="08964B56"/>
    <w:rsid w:val="08966904"/>
    <w:rsid w:val="089B216C"/>
    <w:rsid w:val="089D5EE4"/>
    <w:rsid w:val="089D7C92"/>
    <w:rsid w:val="089F1C5C"/>
    <w:rsid w:val="08A226A5"/>
    <w:rsid w:val="08A26242"/>
    <w:rsid w:val="08A637F4"/>
    <w:rsid w:val="08A70B11"/>
    <w:rsid w:val="08AB6853"/>
    <w:rsid w:val="08B11C07"/>
    <w:rsid w:val="08B1373D"/>
    <w:rsid w:val="08BA6A96"/>
    <w:rsid w:val="08BC0A60"/>
    <w:rsid w:val="08C16076"/>
    <w:rsid w:val="08C276F9"/>
    <w:rsid w:val="08C27806"/>
    <w:rsid w:val="08C43471"/>
    <w:rsid w:val="08D00067"/>
    <w:rsid w:val="08D12032"/>
    <w:rsid w:val="08D40010"/>
    <w:rsid w:val="08D43939"/>
    <w:rsid w:val="08D77648"/>
    <w:rsid w:val="08DA2C94"/>
    <w:rsid w:val="08DD6D78"/>
    <w:rsid w:val="08E25FED"/>
    <w:rsid w:val="08E51639"/>
    <w:rsid w:val="08E92ED7"/>
    <w:rsid w:val="08EB30F3"/>
    <w:rsid w:val="08EB6C4F"/>
    <w:rsid w:val="08ED0123"/>
    <w:rsid w:val="08EE30F1"/>
    <w:rsid w:val="08EE4992"/>
    <w:rsid w:val="08EF5CA7"/>
    <w:rsid w:val="08F024B8"/>
    <w:rsid w:val="08F31FA8"/>
    <w:rsid w:val="08FB2C0B"/>
    <w:rsid w:val="08FC0BC0"/>
    <w:rsid w:val="08FD6983"/>
    <w:rsid w:val="090135A2"/>
    <w:rsid w:val="09045F63"/>
    <w:rsid w:val="09047D11"/>
    <w:rsid w:val="09063A89"/>
    <w:rsid w:val="09077801"/>
    <w:rsid w:val="090B72F2"/>
    <w:rsid w:val="090E0B90"/>
    <w:rsid w:val="09102B5A"/>
    <w:rsid w:val="091066B6"/>
    <w:rsid w:val="09130588"/>
    <w:rsid w:val="091A4149"/>
    <w:rsid w:val="091A7535"/>
    <w:rsid w:val="091B59CE"/>
    <w:rsid w:val="09216B15"/>
    <w:rsid w:val="0922463B"/>
    <w:rsid w:val="0923288D"/>
    <w:rsid w:val="09264EA8"/>
    <w:rsid w:val="092A3975"/>
    <w:rsid w:val="092B34F0"/>
    <w:rsid w:val="092E2FE0"/>
    <w:rsid w:val="092E4D8E"/>
    <w:rsid w:val="09300B06"/>
    <w:rsid w:val="09325386"/>
    <w:rsid w:val="093305F6"/>
    <w:rsid w:val="093525C0"/>
    <w:rsid w:val="09360E2A"/>
    <w:rsid w:val="093A1985"/>
    <w:rsid w:val="093A3733"/>
    <w:rsid w:val="093A7BD7"/>
    <w:rsid w:val="093F6115"/>
    <w:rsid w:val="09410F65"/>
    <w:rsid w:val="0941245A"/>
    <w:rsid w:val="0946032A"/>
    <w:rsid w:val="09491BC8"/>
    <w:rsid w:val="094B5940"/>
    <w:rsid w:val="094C3466"/>
    <w:rsid w:val="094C565A"/>
    <w:rsid w:val="09526CCE"/>
    <w:rsid w:val="09532A47"/>
    <w:rsid w:val="09540C99"/>
    <w:rsid w:val="09554A11"/>
    <w:rsid w:val="09554CD5"/>
    <w:rsid w:val="095C563D"/>
    <w:rsid w:val="095F6949"/>
    <w:rsid w:val="09615163"/>
    <w:rsid w:val="0963712E"/>
    <w:rsid w:val="096802A0"/>
    <w:rsid w:val="096D1D5A"/>
    <w:rsid w:val="096D3B08"/>
    <w:rsid w:val="096D5AA7"/>
    <w:rsid w:val="096E6FD7"/>
    <w:rsid w:val="0972111F"/>
    <w:rsid w:val="097430E9"/>
    <w:rsid w:val="097B5DA6"/>
    <w:rsid w:val="097E5D15"/>
    <w:rsid w:val="0983157E"/>
    <w:rsid w:val="09842C00"/>
    <w:rsid w:val="09883E52"/>
    <w:rsid w:val="098A290C"/>
    <w:rsid w:val="098A46BA"/>
    <w:rsid w:val="098D5137"/>
    <w:rsid w:val="098E3A7F"/>
    <w:rsid w:val="09931095"/>
    <w:rsid w:val="0997077C"/>
    <w:rsid w:val="09976DD7"/>
    <w:rsid w:val="099E0166"/>
    <w:rsid w:val="09A028E1"/>
    <w:rsid w:val="09A03EDE"/>
    <w:rsid w:val="09A06440"/>
    <w:rsid w:val="09A17C56"/>
    <w:rsid w:val="09A45050"/>
    <w:rsid w:val="09A514F4"/>
    <w:rsid w:val="09A55022"/>
    <w:rsid w:val="09AC638D"/>
    <w:rsid w:val="09B24CF6"/>
    <w:rsid w:val="09B2776D"/>
    <w:rsid w:val="09B41737"/>
    <w:rsid w:val="09B421E7"/>
    <w:rsid w:val="09B43F64"/>
    <w:rsid w:val="09B96D4E"/>
    <w:rsid w:val="09BA2AC6"/>
    <w:rsid w:val="09BA4874"/>
    <w:rsid w:val="09BB0D18"/>
    <w:rsid w:val="09BC7504"/>
    <w:rsid w:val="09C0632E"/>
    <w:rsid w:val="09C3197A"/>
    <w:rsid w:val="09C321A9"/>
    <w:rsid w:val="09C35E1E"/>
    <w:rsid w:val="09C63218"/>
    <w:rsid w:val="09CA2D09"/>
    <w:rsid w:val="09CB6A81"/>
    <w:rsid w:val="09CB743E"/>
    <w:rsid w:val="09CC068F"/>
    <w:rsid w:val="09D2576F"/>
    <w:rsid w:val="09D26E62"/>
    <w:rsid w:val="09D27E0F"/>
    <w:rsid w:val="09D73678"/>
    <w:rsid w:val="09D92ABE"/>
    <w:rsid w:val="09D92F4C"/>
    <w:rsid w:val="09DB4F16"/>
    <w:rsid w:val="09DE4A06"/>
    <w:rsid w:val="09E162A4"/>
    <w:rsid w:val="09E43A80"/>
    <w:rsid w:val="09E661A6"/>
    <w:rsid w:val="09EA5159"/>
    <w:rsid w:val="09EB0ED1"/>
    <w:rsid w:val="09EB3F7C"/>
    <w:rsid w:val="09EC1D7A"/>
    <w:rsid w:val="09ED4C49"/>
    <w:rsid w:val="09EE4F48"/>
    <w:rsid w:val="09EF4C97"/>
    <w:rsid w:val="09F4422A"/>
    <w:rsid w:val="09F50B88"/>
    <w:rsid w:val="09F558AC"/>
    <w:rsid w:val="09F61D50"/>
    <w:rsid w:val="09F77876"/>
    <w:rsid w:val="09F935EE"/>
    <w:rsid w:val="09FD11BF"/>
    <w:rsid w:val="0A03621B"/>
    <w:rsid w:val="0A0501E5"/>
    <w:rsid w:val="0A071687"/>
    <w:rsid w:val="0A0A57FB"/>
    <w:rsid w:val="0A0D0E47"/>
    <w:rsid w:val="0A0F4BBF"/>
    <w:rsid w:val="0A116B8A"/>
    <w:rsid w:val="0A122902"/>
    <w:rsid w:val="0A13499B"/>
    <w:rsid w:val="0A1641A0"/>
    <w:rsid w:val="0A172A13"/>
    <w:rsid w:val="0A193C90"/>
    <w:rsid w:val="0A1A2AD5"/>
    <w:rsid w:val="0A1B17B6"/>
    <w:rsid w:val="0A1E4E03"/>
    <w:rsid w:val="0A215EC8"/>
    <w:rsid w:val="0A2543E3"/>
    <w:rsid w:val="0A260FC3"/>
    <w:rsid w:val="0A283998"/>
    <w:rsid w:val="0A285C81"/>
    <w:rsid w:val="0A2A19F9"/>
    <w:rsid w:val="0A2A7C4B"/>
    <w:rsid w:val="0A2B6A3F"/>
    <w:rsid w:val="0A2E62AB"/>
    <w:rsid w:val="0A312D88"/>
    <w:rsid w:val="0A31710B"/>
    <w:rsid w:val="0A333E3A"/>
    <w:rsid w:val="0A382368"/>
    <w:rsid w:val="0A3D797F"/>
    <w:rsid w:val="0A3E7253"/>
    <w:rsid w:val="0A434869"/>
    <w:rsid w:val="0A4505E1"/>
    <w:rsid w:val="0A454A85"/>
    <w:rsid w:val="0A4A3E4A"/>
    <w:rsid w:val="0A4D7496"/>
    <w:rsid w:val="0A4F1460"/>
    <w:rsid w:val="0A5371A2"/>
    <w:rsid w:val="0A540824"/>
    <w:rsid w:val="0A553E45"/>
    <w:rsid w:val="0A5B7E05"/>
    <w:rsid w:val="0A60366D"/>
    <w:rsid w:val="0A621193"/>
    <w:rsid w:val="0A623A91"/>
    <w:rsid w:val="0A643AC5"/>
    <w:rsid w:val="0A650C83"/>
    <w:rsid w:val="0A650D3F"/>
    <w:rsid w:val="0A6C0264"/>
    <w:rsid w:val="0A6C3DC0"/>
    <w:rsid w:val="0A6E5D8A"/>
    <w:rsid w:val="0A6F38B0"/>
    <w:rsid w:val="0A71361E"/>
    <w:rsid w:val="0A726EFC"/>
    <w:rsid w:val="0A7333A0"/>
    <w:rsid w:val="0A73514E"/>
    <w:rsid w:val="0A740EC6"/>
    <w:rsid w:val="0A764C3F"/>
    <w:rsid w:val="0A7717AF"/>
    <w:rsid w:val="0A7D4792"/>
    <w:rsid w:val="0A7E1D45"/>
    <w:rsid w:val="0A7F7F97"/>
    <w:rsid w:val="0A8235E3"/>
    <w:rsid w:val="0A84735B"/>
    <w:rsid w:val="0A856C30"/>
    <w:rsid w:val="0A886720"/>
    <w:rsid w:val="0A894972"/>
    <w:rsid w:val="0A895365"/>
    <w:rsid w:val="0A8A693C"/>
    <w:rsid w:val="0A92134D"/>
    <w:rsid w:val="0A982E07"/>
    <w:rsid w:val="0A984BB5"/>
    <w:rsid w:val="0A9D041D"/>
    <w:rsid w:val="0A9D666F"/>
    <w:rsid w:val="0A9F23E7"/>
    <w:rsid w:val="0AA03A6A"/>
    <w:rsid w:val="0AA21440"/>
    <w:rsid w:val="0AA417AC"/>
    <w:rsid w:val="0AA7129C"/>
    <w:rsid w:val="0AA862BE"/>
    <w:rsid w:val="0AAC0660"/>
    <w:rsid w:val="0AB17A25"/>
    <w:rsid w:val="0AB71268"/>
    <w:rsid w:val="0AB7162C"/>
    <w:rsid w:val="0AB80DB3"/>
    <w:rsid w:val="0AB823C4"/>
    <w:rsid w:val="0ABA06D3"/>
    <w:rsid w:val="0ABA32A4"/>
    <w:rsid w:val="0ABB145E"/>
    <w:rsid w:val="0ABB4D47"/>
    <w:rsid w:val="0ABD34EE"/>
    <w:rsid w:val="0ABE04E4"/>
    <w:rsid w:val="0AC05EBA"/>
    <w:rsid w:val="0AC43546"/>
    <w:rsid w:val="0AC459AA"/>
    <w:rsid w:val="0AC51722"/>
    <w:rsid w:val="0AC8421B"/>
    <w:rsid w:val="0AC9008D"/>
    <w:rsid w:val="0AC91212"/>
    <w:rsid w:val="0ACA0AE6"/>
    <w:rsid w:val="0ACA4546"/>
    <w:rsid w:val="0ACE05D7"/>
    <w:rsid w:val="0ACE4A7B"/>
    <w:rsid w:val="0ACF1469"/>
    <w:rsid w:val="0AD57BB7"/>
    <w:rsid w:val="0ADB1C5D"/>
    <w:rsid w:val="0ADD081A"/>
    <w:rsid w:val="0ADD2F10"/>
    <w:rsid w:val="0ADD4CBE"/>
    <w:rsid w:val="0ADD6A6C"/>
    <w:rsid w:val="0ADF0A36"/>
    <w:rsid w:val="0AE147AE"/>
    <w:rsid w:val="0AE222D4"/>
    <w:rsid w:val="0AE24082"/>
    <w:rsid w:val="0AE62773"/>
    <w:rsid w:val="0AE918B4"/>
    <w:rsid w:val="0AEC6CAF"/>
    <w:rsid w:val="0AEE2A27"/>
    <w:rsid w:val="0AEF0A53"/>
    <w:rsid w:val="0AF3628F"/>
    <w:rsid w:val="0AF65D7F"/>
    <w:rsid w:val="0AF838A6"/>
    <w:rsid w:val="0AFB5144"/>
    <w:rsid w:val="0AFD2C6A"/>
    <w:rsid w:val="0AFF69E2"/>
    <w:rsid w:val="0B0009AC"/>
    <w:rsid w:val="0B016BFE"/>
    <w:rsid w:val="0B097861"/>
    <w:rsid w:val="0B0A41D2"/>
    <w:rsid w:val="0B0C7351"/>
    <w:rsid w:val="0B0E003D"/>
    <w:rsid w:val="0B0E131B"/>
    <w:rsid w:val="0B0F14CD"/>
    <w:rsid w:val="0B137E4E"/>
    <w:rsid w:val="0B14682F"/>
    <w:rsid w:val="0B167A05"/>
    <w:rsid w:val="0B176FF8"/>
    <w:rsid w:val="0B196A2C"/>
    <w:rsid w:val="0B1C57E6"/>
    <w:rsid w:val="0B1D155E"/>
    <w:rsid w:val="0B21104E"/>
    <w:rsid w:val="0B212DFC"/>
    <w:rsid w:val="0B226B74"/>
    <w:rsid w:val="0B280BE4"/>
    <w:rsid w:val="0B2C17A1"/>
    <w:rsid w:val="0B2D79F3"/>
    <w:rsid w:val="0B301291"/>
    <w:rsid w:val="0B310B66"/>
    <w:rsid w:val="0B3348DE"/>
    <w:rsid w:val="0B377A45"/>
    <w:rsid w:val="0B3E4E96"/>
    <w:rsid w:val="0B3F3282"/>
    <w:rsid w:val="0B4127F4"/>
    <w:rsid w:val="0B41524D"/>
    <w:rsid w:val="0B424B21"/>
    <w:rsid w:val="0B494101"/>
    <w:rsid w:val="0B4A3F7D"/>
    <w:rsid w:val="0B4E5BBB"/>
    <w:rsid w:val="0B4F3755"/>
    <w:rsid w:val="0B5166AE"/>
    <w:rsid w:val="0B54456B"/>
    <w:rsid w:val="0B552AA6"/>
    <w:rsid w:val="0B57681E"/>
    <w:rsid w:val="0B5A4560"/>
    <w:rsid w:val="0B5D7BAD"/>
    <w:rsid w:val="0B5E5DFE"/>
    <w:rsid w:val="0B61144B"/>
    <w:rsid w:val="0B636A84"/>
    <w:rsid w:val="0B680A2B"/>
    <w:rsid w:val="0B6E16F5"/>
    <w:rsid w:val="0B6F7B25"/>
    <w:rsid w:val="0B70168E"/>
    <w:rsid w:val="0B705B32"/>
    <w:rsid w:val="0B723658"/>
    <w:rsid w:val="0B753148"/>
    <w:rsid w:val="0B772A1C"/>
    <w:rsid w:val="0B786794"/>
    <w:rsid w:val="0B7C0033"/>
    <w:rsid w:val="0B7C44D7"/>
    <w:rsid w:val="0B7D1FFD"/>
    <w:rsid w:val="0B7E024F"/>
    <w:rsid w:val="0B811E6C"/>
    <w:rsid w:val="0B815649"/>
    <w:rsid w:val="0B825441"/>
    <w:rsid w:val="0B8415DD"/>
    <w:rsid w:val="0B860EB1"/>
    <w:rsid w:val="0B8909A2"/>
    <w:rsid w:val="0B8B64C8"/>
    <w:rsid w:val="0B8C3FEE"/>
    <w:rsid w:val="0B9C6927"/>
    <w:rsid w:val="0B9F01C5"/>
    <w:rsid w:val="0BA23811"/>
    <w:rsid w:val="0BA457DB"/>
    <w:rsid w:val="0BA525D8"/>
    <w:rsid w:val="0BA53A2D"/>
    <w:rsid w:val="0BA56018"/>
    <w:rsid w:val="0BA63302"/>
    <w:rsid w:val="0BA82D87"/>
    <w:rsid w:val="0BA92DF2"/>
    <w:rsid w:val="0BAA5E29"/>
    <w:rsid w:val="0BAB0918"/>
    <w:rsid w:val="0BAD1BD9"/>
    <w:rsid w:val="0BB464DE"/>
    <w:rsid w:val="0BB772BD"/>
    <w:rsid w:val="0BBA0B5B"/>
    <w:rsid w:val="0BBC48D3"/>
    <w:rsid w:val="0BBF2615"/>
    <w:rsid w:val="0BC11EE9"/>
    <w:rsid w:val="0BC1638D"/>
    <w:rsid w:val="0BC55E7E"/>
    <w:rsid w:val="0BCB2D68"/>
    <w:rsid w:val="0BCE52D3"/>
    <w:rsid w:val="0BD04822"/>
    <w:rsid w:val="0BD13BA5"/>
    <w:rsid w:val="0BD50CE3"/>
    <w:rsid w:val="0BD53BE7"/>
    <w:rsid w:val="0BD55995"/>
    <w:rsid w:val="0BD74967"/>
    <w:rsid w:val="0BD7795F"/>
    <w:rsid w:val="0BD87233"/>
    <w:rsid w:val="0BDE2A9B"/>
    <w:rsid w:val="0BE04A65"/>
    <w:rsid w:val="0BE300B2"/>
    <w:rsid w:val="0BE34556"/>
    <w:rsid w:val="0BE43E2A"/>
    <w:rsid w:val="0BE502CE"/>
    <w:rsid w:val="0BE81B6C"/>
    <w:rsid w:val="0BEA7692"/>
    <w:rsid w:val="0BEB26C8"/>
    <w:rsid w:val="0BF00A21"/>
    <w:rsid w:val="0BF26547"/>
    <w:rsid w:val="0BF55B92"/>
    <w:rsid w:val="0BF56037"/>
    <w:rsid w:val="0BF67EC9"/>
    <w:rsid w:val="0BF71DAF"/>
    <w:rsid w:val="0BFC1173"/>
    <w:rsid w:val="0BFD6B61"/>
    <w:rsid w:val="0C007DEB"/>
    <w:rsid w:val="0C012757"/>
    <w:rsid w:val="0C01678A"/>
    <w:rsid w:val="0C023101"/>
    <w:rsid w:val="0C060244"/>
    <w:rsid w:val="0C087B18"/>
    <w:rsid w:val="0C0D3381"/>
    <w:rsid w:val="0C0F0EA7"/>
    <w:rsid w:val="0C1110C3"/>
    <w:rsid w:val="0C112E71"/>
    <w:rsid w:val="0C14470F"/>
    <w:rsid w:val="0C152235"/>
    <w:rsid w:val="0C175FAD"/>
    <w:rsid w:val="0C197F77"/>
    <w:rsid w:val="0C1A103B"/>
    <w:rsid w:val="0C1A784C"/>
    <w:rsid w:val="0C1B3CF0"/>
    <w:rsid w:val="0C1D3984"/>
    <w:rsid w:val="0C230DF6"/>
    <w:rsid w:val="0C274F90"/>
    <w:rsid w:val="0C28640C"/>
    <w:rsid w:val="0C2C6B67"/>
    <w:rsid w:val="0C2F6006"/>
    <w:rsid w:val="0C300E1D"/>
    <w:rsid w:val="0C310A61"/>
    <w:rsid w:val="0C34090D"/>
    <w:rsid w:val="0C3628D7"/>
    <w:rsid w:val="0C364685"/>
    <w:rsid w:val="0C3703FE"/>
    <w:rsid w:val="0C3721AC"/>
    <w:rsid w:val="0C3A4DF1"/>
    <w:rsid w:val="0C3B1C9C"/>
    <w:rsid w:val="0C3B7EEE"/>
    <w:rsid w:val="0C3D1EB8"/>
    <w:rsid w:val="0C3E79DE"/>
    <w:rsid w:val="0C41302A"/>
    <w:rsid w:val="0C426CB3"/>
    <w:rsid w:val="0C442B72"/>
    <w:rsid w:val="0C450D6C"/>
    <w:rsid w:val="0C455357"/>
    <w:rsid w:val="0C4641DA"/>
    <w:rsid w:val="0C4843B9"/>
    <w:rsid w:val="0C5056AF"/>
    <w:rsid w:val="0C5114BF"/>
    <w:rsid w:val="0C5136C6"/>
    <w:rsid w:val="0C525237"/>
    <w:rsid w:val="0C527F29"/>
    <w:rsid w:val="0C530DEB"/>
    <w:rsid w:val="0C5603BC"/>
    <w:rsid w:val="0C564D28"/>
    <w:rsid w:val="0C581959"/>
    <w:rsid w:val="0C590374"/>
    <w:rsid w:val="0C59351C"/>
    <w:rsid w:val="0C5965C6"/>
    <w:rsid w:val="0C5B37C6"/>
    <w:rsid w:val="0C5C7E64"/>
    <w:rsid w:val="0C602928"/>
    <w:rsid w:val="0C637445"/>
    <w:rsid w:val="0C654F6B"/>
    <w:rsid w:val="0C686809"/>
    <w:rsid w:val="0C6A2581"/>
    <w:rsid w:val="0C6A432F"/>
    <w:rsid w:val="0C6D3E1F"/>
    <w:rsid w:val="0C6F1945"/>
    <w:rsid w:val="0C727767"/>
    <w:rsid w:val="0C776A4C"/>
    <w:rsid w:val="0C790A16"/>
    <w:rsid w:val="0C796C68"/>
    <w:rsid w:val="0C7B653C"/>
    <w:rsid w:val="0C7D22B4"/>
    <w:rsid w:val="0C811679"/>
    <w:rsid w:val="0C8252F9"/>
    <w:rsid w:val="0C8278CB"/>
    <w:rsid w:val="0C835107"/>
    <w:rsid w:val="0C8352C9"/>
    <w:rsid w:val="0C8353F1"/>
    <w:rsid w:val="0C88726E"/>
    <w:rsid w:val="0C8A677F"/>
    <w:rsid w:val="0C8C24F7"/>
    <w:rsid w:val="0C8D0F7C"/>
    <w:rsid w:val="0C8E44C1"/>
    <w:rsid w:val="0C8E5FD5"/>
    <w:rsid w:val="0C915D60"/>
    <w:rsid w:val="0C917B0E"/>
    <w:rsid w:val="0C937D2A"/>
    <w:rsid w:val="0C945850"/>
    <w:rsid w:val="0C994C14"/>
    <w:rsid w:val="0C9D5F6F"/>
    <w:rsid w:val="0C9E047D"/>
    <w:rsid w:val="0CA02447"/>
    <w:rsid w:val="0CA17CE4"/>
    <w:rsid w:val="0CA535B9"/>
    <w:rsid w:val="0CA57A5D"/>
    <w:rsid w:val="0CA830A9"/>
    <w:rsid w:val="0CAA0BCF"/>
    <w:rsid w:val="0CAA5073"/>
    <w:rsid w:val="0CAC2B9A"/>
    <w:rsid w:val="0CAE6912"/>
    <w:rsid w:val="0CB3217A"/>
    <w:rsid w:val="0CB41A4E"/>
    <w:rsid w:val="0CB46CF7"/>
    <w:rsid w:val="0CB47E66"/>
    <w:rsid w:val="0CB657C6"/>
    <w:rsid w:val="0CB8153E"/>
    <w:rsid w:val="0CB87790"/>
    <w:rsid w:val="0CB90E13"/>
    <w:rsid w:val="0CBB2DDD"/>
    <w:rsid w:val="0CBB4B8B"/>
    <w:rsid w:val="0CC223BD"/>
    <w:rsid w:val="0CC40407"/>
    <w:rsid w:val="0CC47EE3"/>
    <w:rsid w:val="0CCA3020"/>
    <w:rsid w:val="0CCB7B51"/>
    <w:rsid w:val="0CCC323C"/>
    <w:rsid w:val="0CCE2B10"/>
    <w:rsid w:val="0CCF6888"/>
    <w:rsid w:val="0CD10852"/>
    <w:rsid w:val="0CD12600"/>
    <w:rsid w:val="0CD65E68"/>
    <w:rsid w:val="0CD8398F"/>
    <w:rsid w:val="0CDB347F"/>
    <w:rsid w:val="0CDB6FDB"/>
    <w:rsid w:val="0CDE1C2A"/>
    <w:rsid w:val="0CE1105D"/>
    <w:rsid w:val="0CE30634"/>
    <w:rsid w:val="0CE33469"/>
    <w:rsid w:val="0CE71E24"/>
    <w:rsid w:val="0CE866DD"/>
    <w:rsid w:val="0CE916F8"/>
    <w:rsid w:val="0CEC11E8"/>
    <w:rsid w:val="0CEE6D0E"/>
    <w:rsid w:val="0CF30129"/>
    <w:rsid w:val="0CF307C8"/>
    <w:rsid w:val="0CF462EF"/>
    <w:rsid w:val="0CF54541"/>
    <w:rsid w:val="0CF956B3"/>
    <w:rsid w:val="0CFA1B57"/>
    <w:rsid w:val="0CFB58CF"/>
    <w:rsid w:val="0CFF129D"/>
    <w:rsid w:val="0D002EE5"/>
    <w:rsid w:val="0D0429D6"/>
    <w:rsid w:val="0D044784"/>
    <w:rsid w:val="0D046532"/>
    <w:rsid w:val="0D076022"/>
    <w:rsid w:val="0D0C3638"/>
    <w:rsid w:val="0D0C53E6"/>
    <w:rsid w:val="0D187EE2"/>
    <w:rsid w:val="0D1B387B"/>
    <w:rsid w:val="0D1D5B70"/>
    <w:rsid w:val="0D1D6B9E"/>
    <w:rsid w:val="0D2A777E"/>
    <w:rsid w:val="0D2E1801"/>
    <w:rsid w:val="0D3112F1"/>
    <w:rsid w:val="0D3229EB"/>
    <w:rsid w:val="0D335069"/>
    <w:rsid w:val="0D352B8F"/>
    <w:rsid w:val="0D35493D"/>
    <w:rsid w:val="0D366907"/>
    <w:rsid w:val="0D38442D"/>
    <w:rsid w:val="0D3A3D4E"/>
    <w:rsid w:val="0D3D1A44"/>
    <w:rsid w:val="0D3D5EE8"/>
    <w:rsid w:val="0D3F3A0E"/>
    <w:rsid w:val="0D403B03"/>
    <w:rsid w:val="0D416E49"/>
    <w:rsid w:val="0D417786"/>
    <w:rsid w:val="0D4252AC"/>
    <w:rsid w:val="0D49488C"/>
    <w:rsid w:val="0D505C1B"/>
    <w:rsid w:val="0D5154EF"/>
    <w:rsid w:val="0D553231"/>
    <w:rsid w:val="0D556D8D"/>
    <w:rsid w:val="0D5A25F6"/>
    <w:rsid w:val="0D5B2BA8"/>
    <w:rsid w:val="0D5D70E8"/>
    <w:rsid w:val="0D633481"/>
    <w:rsid w:val="0D641011"/>
    <w:rsid w:val="0D645222"/>
    <w:rsid w:val="0D646FBB"/>
    <w:rsid w:val="0D69568B"/>
    <w:rsid w:val="0D6C2329"/>
    <w:rsid w:val="0D6C40D7"/>
    <w:rsid w:val="0D703BC7"/>
    <w:rsid w:val="0D716C1A"/>
    <w:rsid w:val="0D731909"/>
    <w:rsid w:val="0D7336B7"/>
    <w:rsid w:val="0D774F56"/>
    <w:rsid w:val="0D780CCE"/>
    <w:rsid w:val="0D782A7C"/>
    <w:rsid w:val="0D7A4A46"/>
    <w:rsid w:val="0D7C6A10"/>
    <w:rsid w:val="0D7E7B62"/>
    <w:rsid w:val="0D8256A8"/>
    <w:rsid w:val="0D841421"/>
    <w:rsid w:val="0D857517"/>
    <w:rsid w:val="0D865199"/>
    <w:rsid w:val="0D8E6743"/>
    <w:rsid w:val="0D8F1B47"/>
    <w:rsid w:val="0D8F1C8C"/>
    <w:rsid w:val="0D907DC5"/>
    <w:rsid w:val="0D935B07"/>
    <w:rsid w:val="0D950172"/>
    <w:rsid w:val="0D95362E"/>
    <w:rsid w:val="0D957AD2"/>
    <w:rsid w:val="0D961154"/>
    <w:rsid w:val="0D98311E"/>
    <w:rsid w:val="0D9A6E96"/>
    <w:rsid w:val="0D9D24E2"/>
    <w:rsid w:val="0D9F26FE"/>
    <w:rsid w:val="0D9F5624"/>
    <w:rsid w:val="0DA0360B"/>
    <w:rsid w:val="0DA04772"/>
    <w:rsid w:val="0DA11FD2"/>
    <w:rsid w:val="0DA1438C"/>
    <w:rsid w:val="0DA47700"/>
    <w:rsid w:val="0DA50BCE"/>
    <w:rsid w:val="0DA558DE"/>
    <w:rsid w:val="0DA63A8D"/>
    <w:rsid w:val="0DAC2BE0"/>
    <w:rsid w:val="0DAC4521"/>
    <w:rsid w:val="0DB461AA"/>
    <w:rsid w:val="0DB55C17"/>
    <w:rsid w:val="0DB735A4"/>
    <w:rsid w:val="0DB86340"/>
    <w:rsid w:val="0DB8731C"/>
    <w:rsid w:val="0DB937C0"/>
    <w:rsid w:val="0DBC0BBA"/>
    <w:rsid w:val="0DC134A7"/>
    <w:rsid w:val="0DC161D1"/>
    <w:rsid w:val="0DC42165"/>
    <w:rsid w:val="0DC61A39"/>
    <w:rsid w:val="0DC77E62"/>
    <w:rsid w:val="0DCB34F3"/>
    <w:rsid w:val="0DD04666"/>
    <w:rsid w:val="0DD759F4"/>
    <w:rsid w:val="0DDC300B"/>
    <w:rsid w:val="0DDC6E3D"/>
    <w:rsid w:val="0DDE4FD5"/>
    <w:rsid w:val="0DE17D54"/>
    <w:rsid w:val="0DE34399"/>
    <w:rsid w:val="0DE46363"/>
    <w:rsid w:val="0DE545B5"/>
    <w:rsid w:val="0DE620DB"/>
    <w:rsid w:val="0DE95727"/>
    <w:rsid w:val="0DEA1BCB"/>
    <w:rsid w:val="0DED5218"/>
    <w:rsid w:val="0DED5F86"/>
    <w:rsid w:val="0DEF2C07"/>
    <w:rsid w:val="0DF50570"/>
    <w:rsid w:val="0DF50931"/>
    <w:rsid w:val="0DF540CC"/>
    <w:rsid w:val="0DF91E0E"/>
    <w:rsid w:val="0DFA26A5"/>
    <w:rsid w:val="0DFC36AD"/>
    <w:rsid w:val="0DFC545B"/>
    <w:rsid w:val="0DFE11D3"/>
    <w:rsid w:val="0E016F15"/>
    <w:rsid w:val="0E06452B"/>
    <w:rsid w:val="0E0662D9"/>
    <w:rsid w:val="0E0802A4"/>
    <w:rsid w:val="0E082052"/>
    <w:rsid w:val="0E083E00"/>
    <w:rsid w:val="0E08610B"/>
    <w:rsid w:val="0E0B7D94"/>
    <w:rsid w:val="0E0E518E"/>
    <w:rsid w:val="0E115D2D"/>
    <w:rsid w:val="0E1327A4"/>
    <w:rsid w:val="0E146C48"/>
    <w:rsid w:val="0E1529C0"/>
    <w:rsid w:val="0E19425F"/>
    <w:rsid w:val="0E1E3623"/>
    <w:rsid w:val="0E1E7AC7"/>
    <w:rsid w:val="0E1F739B"/>
    <w:rsid w:val="0E2055ED"/>
    <w:rsid w:val="0E2449B2"/>
    <w:rsid w:val="0E2624D8"/>
    <w:rsid w:val="0E2826F4"/>
    <w:rsid w:val="0E286250"/>
    <w:rsid w:val="0E2A646C"/>
    <w:rsid w:val="0E2F3A82"/>
    <w:rsid w:val="0E3177FA"/>
    <w:rsid w:val="0E372937"/>
    <w:rsid w:val="0E3B2429"/>
    <w:rsid w:val="0E407A3D"/>
    <w:rsid w:val="0E43308A"/>
    <w:rsid w:val="0E440BB0"/>
    <w:rsid w:val="0E4447A8"/>
    <w:rsid w:val="0E460DCC"/>
    <w:rsid w:val="0E464928"/>
    <w:rsid w:val="0E4A4418"/>
    <w:rsid w:val="0E4B1F3E"/>
    <w:rsid w:val="0E4C5A77"/>
    <w:rsid w:val="0E4D03C4"/>
    <w:rsid w:val="0E511C4A"/>
    <w:rsid w:val="0E512BF8"/>
    <w:rsid w:val="0E5131BF"/>
    <w:rsid w:val="0E525AF8"/>
    <w:rsid w:val="0E536DD7"/>
    <w:rsid w:val="0E5400D2"/>
    <w:rsid w:val="0E540297"/>
    <w:rsid w:val="0E545297"/>
    <w:rsid w:val="0E572FD9"/>
    <w:rsid w:val="0E582C0E"/>
    <w:rsid w:val="0E5C239D"/>
    <w:rsid w:val="0E5D5B3A"/>
    <w:rsid w:val="0E5E1C72"/>
    <w:rsid w:val="0E5E6115"/>
    <w:rsid w:val="0E5E7EC3"/>
    <w:rsid w:val="0E6A2D0C"/>
    <w:rsid w:val="0E6A3AEA"/>
    <w:rsid w:val="0E6E52B8"/>
    <w:rsid w:val="0E6F20D1"/>
    <w:rsid w:val="0E71409B"/>
    <w:rsid w:val="0E770F85"/>
    <w:rsid w:val="0E772D33"/>
    <w:rsid w:val="0E792F4F"/>
    <w:rsid w:val="0E7B6CC7"/>
    <w:rsid w:val="0E7C659C"/>
    <w:rsid w:val="0E7E2314"/>
    <w:rsid w:val="0E807E3A"/>
    <w:rsid w:val="0E8813E4"/>
    <w:rsid w:val="0E8A2A67"/>
    <w:rsid w:val="0E8C4A31"/>
    <w:rsid w:val="0E8D7100"/>
    <w:rsid w:val="0E8F62CF"/>
    <w:rsid w:val="0E910299"/>
    <w:rsid w:val="0E912047"/>
    <w:rsid w:val="0E963B01"/>
    <w:rsid w:val="0E9658AF"/>
    <w:rsid w:val="0E981627"/>
    <w:rsid w:val="0E9B031F"/>
    <w:rsid w:val="0EA004DC"/>
    <w:rsid w:val="0EA31D7A"/>
    <w:rsid w:val="0EA55676"/>
    <w:rsid w:val="0EAA135B"/>
    <w:rsid w:val="0EAA4EB7"/>
    <w:rsid w:val="0EAB25D1"/>
    <w:rsid w:val="0EAC50D3"/>
    <w:rsid w:val="0EAD49A7"/>
    <w:rsid w:val="0EB36461"/>
    <w:rsid w:val="0EB75826"/>
    <w:rsid w:val="0EB9159E"/>
    <w:rsid w:val="0EB9334C"/>
    <w:rsid w:val="0EBC7EAB"/>
    <w:rsid w:val="0EC00B7E"/>
    <w:rsid w:val="0EC0292C"/>
    <w:rsid w:val="0EC046DA"/>
    <w:rsid w:val="0EC3241C"/>
    <w:rsid w:val="0EC75A69"/>
    <w:rsid w:val="0EC97353"/>
    <w:rsid w:val="0ECA5559"/>
    <w:rsid w:val="0ECC7523"/>
    <w:rsid w:val="0ECE329B"/>
    <w:rsid w:val="0ED14B39"/>
    <w:rsid w:val="0ED34267"/>
    <w:rsid w:val="0ED85EC8"/>
    <w:rsid w:val="0EDB1514"/>
    <w:rsid w:val="0EE06B2A"/>
    <w:rsid w:val="0EE228A3"/>
    <w:rsid w:val="0EE52393"/>
    <w:rsid w:val="0EE77EB9"/>
    <w:rsid w:val="0EE83C31"/>
    <w:rsid w:val="0EE83F3E"/>
    <w:rsid w:val="0EEC0FAC"/>
    <w:rsid w:val="0EED1247"/>
    <w:rsid w:val="0EEE56EB"/>
    <w:rsid w:val="0EF32D02"/>
    <w:rsid w:val="0EF32E21"/>
    <w:rsid w:val="0EF37672"/>
    <w:rsid w:val="0EF46240"/>
    <w:rsid w:val="0EF80C90"/>
    <w:rsid w:val="0EF83E74"/>
    <w:rsid w:val="0EFA4090"/>
    <w:rsid w:val="0EFB1BB6"/>
    <w:rsid w:val="0EFB5712"/>
    <w:rsid w:val="0EFC576A"/>
    <w:rsid w:val="0EFD592E"/>
    <w:rsid w:val="0EFE5203"/>
    <w:rsid w:val="0F000F7B"/>
    <w:rsid w:val="0F022F45"/>
    <w:rsid w:val="0F024CF3"/>
    <w:rsid w:val="0F0740B7"/>
    <w:rsid w:val="0F087E2F"/>
    <w:rsid w:val="0F0942D3"/>
    <w:rsid w:val="0F0A004B"/>
    <w:rsid w:val="0F0A3BA7"/>
    <w:rsid w:val="0F0B7106"/>
    <w:rsid w:val="0F0C5B71"/>
    <w:rsid w:val="0F1113DA"/>
    <w:rsid w:val="0F1467D4"/>
    <w:rsid w:val="0F16079E"/>
    <w:rsid w:val="0F16254C"/>
    <w:rsid w:val="0F1964F3"/>
    <w:rsid w:val="0F1B7B63"/>
    <w:rsid w:val="0F21132C"/>
    <w:rsid w:val="0F220EF1"/>
    <w:rsid w:val="0F24241C"/>
    <w:rsid w:val="0F276507"/>
    <w:rsid w:val="0F296723"/>
    <w:rsid w:val="0F2A5FF8"/>
    <w:rsid w:val="0F2C7FC2"/>
    <w:rsid w:val="0F2E5071"/>
    <w:rsid w:val="0F2F360E"/>
    <w:rsid w:val="0F333125"/>
    <w:rsid w:val="0F360E40"/>
    <w:rsid w:val="0F3A26DF"/>
    <w:rsid w:val="0F3A448D"/>
    <w:rsid w:val="0F3D3F7D"/>
    <w:rsid w:val="0F3F1AA3"/>
    <w:rsid w:val="0F423341"/>
    <w:rsid w:val="0F4470B9"/>
    <w:rsid w:val="0F452E31"/>
    <w:rsid w:val="0F465E03"/>
    <w:rsid w:val="0F470958"/>
    <w:rsid w:val="0F4A3C6A"/>
    <w:rsid w:val="0F5002B6"/>
    <w:rsid w:val="0F501F02"/>
    <w:rsid w:val="0F5117D6"/>
    <w:rsid w:val="0F515C7A"/>
    <w:rsid w:val="0F526369"/>
    <w:rsid w:val="0F53554E"/>
    <w:rsid w:val="0F543075"/>
    <w:rsid w:val="0F56503F"/>
    <w:rsid w:val="0F580DB7"/>
    <w:rsid w:val="0F5B4403"/>
    <w:rsid w:val="0F5C1D51"/>
    <w:rsid w:val="0F5E0741"/>
    <w:rsid w:val="0F5F5CA1"/>
    <w:rsid w:val="0F615EBD"/>
    <w:rsid w:val="0F620FFF"/>
    <w:rsid w:val="0F621F1A"/>
    <w:rsid w:val="0F6611A1"/>
    <w:rsid w:val="0F681E22"/>
    <w:rsid w:val="0F691DD8"/>
    <w:rsid w:val="0F6C20F8"/>
    <w:rsid w:val="0F707EAE"/>
    <w:rsid w:val="0F711E78"/>
    <w:rsid w:val="0F735BF1"/>
    <w:rsid w:val="0F753717"/>
    <w:rsid w:val="0F76123D"/>
    <w:rsid w:val="0F7B6853"/>
    <w:rsid w:val="0F7D081D"/>
    <w:rsid w:val="0F825E34"/>
    <w:rsid w:val="0F827BE2"/>
    <w:rsid w:val="0F87687D"/>
    <w:rsid w:val="0F890F70"/>
    <w:rsid w:val="0F8971C2"/>
    <w:rsid w:val="0F8C280E"/>
    <w:rsid w:val="0F8E2A2A"/>
    <w:rsid w:val="0F8E79CE"/>
    <w:rsid w:val="0F916077"/>
    <w:rsid w:val="0F9255ED"/>
    <w:rsid w:val="0F9262E5"/>
    <w:rsid w:val="0F977B31"/>
    <w:rsid w:val="0F9954C0"/>
    <w:rsid w:val="0F9F69E6"/>
    <w:rsid w:val="0FA062BA"/>
    <w:rsid w:val="0FA1450C"/>
    <w:rsid w:val="0FA61B22"/>
    <w:rsid w:val="0FA63F13"/>
    <w:rsid w:val="0FA77648"/>
    <w:rsid w:val="0FA83AEC"/>
    <w:rsid w:val="0FA97864"/>
    <w:rsid w:val="0FAB538A"/>
    <w:rsid w:val="0FB07ECC"/>
    <w:rsid w:val="0FB32491"/>
    <w:rsid w:val="0FB3423F"/>
    <w:rsid w:val="0FB55461"/>
    <w:rsid w:val="0FB83603"/>
    <w:rsid w:val="0FB87AA7"/>
    <w:rsid w:val="0FBD342A"/>
    <w:rsid w:val="0FBF2BE4"/>
    <w:rsid w:val="0FC1070A"/>
    <w:rsid w:val="0FC14BAE"/>
    <w:rsid w:val="0FC401FA"/>
    <w:rsid w:val="0FC621C4"/>
    <w:rsid w:val="0FC71A98"/>
    <w:rsid w:val="0FC87CEA"/>
    <w:rsid w:val="0FC93A62"/>
    <w:rsid w:val="0FCA42ED"/>
    <w:rsid w:val="0FCB3337"/>
    <w:rsid w:val="0FCB6EBE"/>
    <w:rsid w:val="0FCE1079"/>
    <w:rsid w:val="0FD0094D"/>
    <w:rsid w:val="0FD1316F"/>
    <w:rsid w:val="0FD146C5"/>
    <w:rsid w:val="0FD3043D"/>
    <w:rsid w:val="0FD3668F"/>
    <w:rsid w:val="0FD51183"/>
    <w:rsid w:val="0FD57331"/>
    <w:rsid w:val="0FD83CA6"/>
    <w:rsid w:val="0FDC19E8"/>
    <w:rsid w:val="0FE10DAC"/>
    <w:rsid w:val="0FE32D76"/>
    <w:rsid w:val="0FE34B24"/>
    <w:rsid w:val="0FE60171"/>
    <w:rsid w:val="0FEB5787"/>
    <w:rsid w:val="0FEE34C9"/>
    <w:rsid w:val="0FEE60A0"/>
    <w:rsid w:val="0FF24D67"/>
    <w:rsid w:val="0FF3288D"/>
    <w:rsid w:val="0FF87EA4"/>
    <w:rsid w:val="0FFB2356"/>
    <w:rsid w:val="0FFC1742"/>
    <w:rsid w:val="0FFC7994"/>
    <w:rsid w:val="0FFF1232"/>
    <w:rsid w:val="0FFF466D"/>
    <w:rsid w:val="1000028B"/>
    <w:rsid w:val="10014FAA"/>
    <w:rsid w:val="10044A9B"/>
    <w:rsid w:val="10066A65"/>
    <w:rsid w:val="10066E92"/>
    <w:rsid w:val="1008458B"/>
    <w:rsid w:val="1009571F"/>
    <w:rsid w:val="100B5B75"/>
    <w:rsid w:val="100B7BD7"/>
    <w:rsid w:val="100E1475"/>
    <w:rsid w:val="10127F12"/>
    <w:rsid w:val="10142A71"/>
    <w:rsid w:val="101633E4"/>
    <w:rsid w:val="101747CE"/>
    <w:rsid w:val="101822F4"/>
    <w:rsid w:val="101E3DAE"/>
    <w:rsid w:val="101F3682"/>
    <w:rsid w:val="1021389E"/>
    <w:rsid w:val="10234F21"/>
    <w:rsid w:val="10262C63"/>
    <w:rsid w:val="102962AF"/>
    <w:rsid w:val="102978DA"/>
    <w:rsid w:val="102D5D9F"/>
    <w:rsid w:val="102E1B18"/>
    <w:rsid w:val="1031510F"/>
    <w:rsid w:val="1032785A"/>
    <w:rsid w:val="1034712E"/>
    <w:rsid w:val="10390CED"/>
    <w:rsid w:val="103A04BC"/>
    <w:rsid w:val="103A226A"/>
    <w:rsid w:val="103E7FAD"/>
    <w:rsid w:val="103F3D25"/>
    <w:rsid w:val="104355C3"/>
    <w:rsid w:val="104430E9"/>
    <w:rsid w:val="10463305"/>
    <w:rsid w:val="10487C63"/>
    <w:rsid w:val="104A4BA3"/>
    <w:rsid w:val="104B3262"/>
    <w:rsid w:val="104B4477"/>
    <w:rsid w:val="104D01F0"/>
    <w:rsid w:val="10507CE0"/>
    <w:rsid w:val="10507EB4"/>
    <w:rsid w:val="10523A58"/>
    <w:rsid w:val="10535489"/>
    <w:rsid w:val="105477D0"/>
    <w:rsid w:val="10554D6F"/>
    <w:rsid w:val="105570A4"/>
    <w:rsid w:val="10563694"/>
    <w:rsid w:val="105668F7"/>
    <w:rsid w:val="105772C0"/>
    <w:rsid w:val="105A46BB"/>
    <w:rsid w:val="105C0433"/>
    <w:rsid w:val="10613C9B"/>
    <w:rsid w:val="106D43EE"/>
    <w:rsid w:val="10700268"/>
    <w:rsid w:val="10702130"/>
    <w:rsid w:val="107439CE"/>
    <w:rsid w:val="107522FB"/>
    <w:rsid w:val="107647A0"/>
    <w:rsid w:val="10771710"/>
    <w:rsid w:val="10775C30"/>
    <w:rsid w:val="10797237"/>
    <w:rsid w:val="10797991"/>
    <w:rsid w:val="107E2A9F"/>
    <w:rsid w:val="108118B3"/>
    <w:rsid w:val="108A31F2"/>
    <w:rsid w:val="108C5FAA"/>
    <w:rsid w:val="108D2CE2"/>
    <w:rsid w:val="108D7FEC"/>
    <w:rsid w:val="1090632E"/>
    <w:rsid w:val="10945E1E"/>
    <w:rsid w:val="10947BCD"/>
    <w:rsid w:val="10973B61"/>
    <w:rsid w:val="10991687"/>
    <w:rsid w:val="109D1177"/>
    <w:rsid w:val="10A122E9"/>
    <w:rsid w:val="10A223D8"/>
    <w:rsid w:val="10A67900"/>
    <w:rsid w:val="10A73DA4"/>
    <w:rsid w:val="10A87B1C"/>
    <w:rsid w:val="10AB4F16"/>
    <w:rsid w:val="10AF4A06"/>
    <w:rsid w:val="10B1077E"/>
    <w:rsid w:val="10B169D0"/>
    <w:rsid w:val="10B2701E"/>
    <w:rsid w:val="10B4201D"/>
    <w:rsid w:val="10B97633"/>
    <w:rsid w:val="10BB22B0"/>
    <w:rsid w:val="10BB784F"/>
    <w:rsid w:val="10BE10ED"/>
    <w:rsid w:val="10BE4C49"/>
    <w:rsid w:val="10C17BB1"/>
    <w:rsid w:val="10C20D74"/>
    <w:rsid w:val="10C34A85"/>
    <w:rsid w:val="10C761F4"/>
    <w:rsid w:val="10CA5CE4"/>
    <w:rsid w:val="10CA7A92"/>
    <w:rsid w:val="10CC380A"/>
    <w:rsid w:val="10D34B99"/>
    <w:rsid w:val="10D426BF"/>
    <w:rsid w:val="10D80401"/>
    <w:rsid w:val="10D821AF"/>
    <w:rsid w:val="10DE52B7"/>
    <w:rsid w:val="10DE626E"/>
    <w:rsid w:val="10E548CC"/>
    <w:rsid w:val="10E70644"/>
    <w:rsid w:val="10E8616A"/>
    <w:rsid w:val="10EA0134"/>
    <w:rsid w:val="10EA3C90"/>
    <w:rsid w:val="10EB0A61"/>
    <w:rsid w:val="10EC17B7"/>
    <w:rsid w:val="10EE19D3"/>
    <w:rsid w:val="10F22B45"/>
    <w:rsid w:val="10F36FE9"/>
    <w:rsid w:val="10F468BD"/>
    <w:rsid w:val="10F60887"/>
    <w:rsid w:val="10F7015B"/>
    <w:rsid w:val="10F86433"/>
    <w:rsid w:val="10F92125"/>
    <w:rsid w:val="10F96CD3"/>
    <w:rsid w:val="10FC5772"/>
    <w:rsid w:val="10FE598E"/>
    <w:rsid w:val="10FE773C"/>
    <w:rsid w:val="1102547E"/>
    <w:rsid w:val="11036B00"/>
    <w:rsid w:val="11052B5A"/>
    <w:rsid w:val="11056D1C"/>
    <w:rsid w:val="110662B7"/>
    <w:rsid w:val="11074842"/>
    <w:rsid w:val="110B5A55"/>
    <w:rsid w:val="110D477C"/>
    <w:rsid w:val="111125C9"/>
    <w:rsid w:val="11120D9E"/>
    <w:rsid w:val="11124F95"/>
    <w:rsid w:val="11131439"/>
    <w:rsid w:val="11162CD7"/>
    <w:rsid w:val="11194576"/>
    <w:rsid w:val="111B6D01"/>
    <w:rsid w:val="111D5E14"/>
    <w:rsid w:val="111D7BC2"/>
    <w:rsid w:val="11205904"/>
    <w:rsid w:val="11230728"/>
    <w:rsid w:val="11270A41"/>
    <w:rsid w:val="112847B9"/>
    <w:rsid w:val="112A0531"/>
    <w:rsid w:val="112D1D65"/>
    <w:rsid w:val="113140BF"/>
    <w:rsid w:val="113D0264"/>
    <w:rsid w:val="113F222E"/>
    <w:rsid w:val="11423ACC"/>
    <w:rsid w:val="114317C8"/>
    <w:rsid w:val="114F61E9"/>
    <w:rsid w:val="11504EEC"/>
    <w:rsid w:val="11513D10"/>
    <w:rsid w:val="11567578"/>
    <w:rsid w:val="11587DBA"/>
    <w:rsid w:val="115C7016"/>
    <w:rsid w:val="115D26B4"/>
    <w:rsid w:val="115F467E"/>
    <w:rsid w:val="116003F7"/>
    <w:rsid w:val="11621A79"/>
    <w:rsid w:val="11625F1D"/>
    <w:rsid w:val="116457F1"/>
    <w:rsid w:val="11673DDB"/>
    <w:rsid w:val="116A4DD1"/>
    <w:rsid w:val="116F23E8"/>
    <w:rsid w:val="11733C86"/>
    <w:rsid w:val="1174766F"/>
    <w:rsid w:val="117479FE"/>
    <w:rsid w:val="11796EDC"/>
    <w:rsid w:val="117A14B8"/>
    <w:rsid w:val="117B2B3A"/>
    <w:rsid w:val="117D2D56"/>
    <w:rsid w:val="117E3EBF"/>
    <w:rsid w:val="11812847"/>
    <w:rsid w:val="1182199C"/>
    <w:rsid w:val="1182211B"/>
    <w:rsid w:val="11823EC9"/>
    <w:rsid w:val="11832B5F"/>
    <w:rsid w:val="11851C0B"/>
    <w:rsid w:val="11875983"/>
    <w:rsid w:val="11877731"/>
    <w:rsid w:val="11895257"/>
    <w:rsid w:val="118A0FD0"/>
    <w:rsid w:val="118B7221"/>
    <w:rsid w:val="118C4749"/>
    <w:rsid w:val="118E0AC0"/>
    <w:rsid w:val="118E1EB1"/>
    <w:rsid w:val="11902A8A"/>
    <w:rsid w:val="119105B0"/>
    <w:rsid w:val="11921F79"/>
    <w:rsid w:val="1193257A"/>
    <w:rsid w:val="119360D6"/>
    <w:rsid w:val="11943BFC"/>
    <w:rsid w:val="11944B11"/>
    <w:rsid w:val="11951A46"/>
    <w:rsid w:val="11951E4E"/>
    <w:rsid w:val="1198193E"/>
    <w:rsid w:val="119C290E"/>
    <w:rsid w:val="119D51A7"/>
    <w:rsid w:val="119F2CCD"/>
    <w:rsid w:val="119F4A7B"/>
    <w:rsid w:val="11A16A45"/>
    <w:rsid w:val="11A622AD"/>
    <w:rsid w:val="11A63895"/>
    <w:rsid w:val="11AA0E33"/>
    <w:rsid w:val="11AB1672"/>
    <w:rsid w:val="11AB78C4"/>
    <w:rsid w:val="11AC53EA"/>
    <w:rsid w:val="11B30526"/>
    <w:rsid w:val="11B322D4"/>
    <w:rsid w:val="11B51C10"/>
    <w:rsid w:val="11B524F0"/>
    <w:rsid w:val="11B5604C"/>
    <w:rsid w:val="11B61DC5"/>
    <w:rsid w:val="11B85B3D"/>
    <w:rsid w:val="11BA3663"/>
    <w:rsid w:val="11BC387F"/>
    <w:rsid w:val="11C10E95"/>
    <w:rsid w:val="11C269BB"/>
    <w:rsid w:val="11C42733"/>
    <w:rsid w:val="11C664AC"/>
    <w:rsid w:val="11C757FB"/>
    <w:rsid w:val="11CB1D14"/>
    <w:rsid w:val="11CB45E7"/>
    <w:rsid w:val="11CC15E8"/>
    <w:rsid w:val="11D16BFE"/>
    <w:rsid w:val="11D230A2"/>
    <w:rsid w:val="11D37A4F"/>
    <w:rsid w:val="11D465DE"/>
    <w:rsid w:val="11D64F9F"/>
    <w:rsid w:val="11D84431"/>
    <w:rsid w:val="11DB026D"/>
    <w:rsid w:val="11DD1A47"/>
    <w:rsid w:val="11DF30C9"/>
    <w:rsid w:val="11DF756D"/>
    <w:rsid w:val="11E21A35"/>
    <w:rsid w:val="11E45D4D"/>
    <w:rsid w:val="11E8713C"/>
    <w:rsid w:val="11EC57E6"/>
    <w:rsid w:val="11EE155E"/>
    <w:rsid w:val="11EE4110"/>
    <w:rsid w:val="11EE77B0"/>
    <w:rsid w:val="11F101C0"/>
    <w:rsid w:val="11F34DC7"/>
    <w:rsid w:val="11F35E10"/>
    <w:rsid w:val="11F50B3F"/>
    <w:rsid w:val="11F748B7"/>
    <w:rsid w:val="11FA6155"/>
    <w:rsid w:val="11FE3E97"/>
    <w:rsid w:val="120174E4"/>
    <w:rsid w:val="12057DA5"/>
    <w:rsid w:val="12062D4C"/>
    <w:rsid w:val="12072C0E"/>
    <w:rsid w:val="12086AC4"/>
    <w:rsid w:val="120E39AF"/>
    <w:rsid w:val="12103BCB"/>
    <w:rsid w:val="12107727"/>
    <w:rsid w:val="12133839"/>
    <w:rsid w:val="12137217"/>
    <w:rsid w:val="12164807"/>
    <w:rsid w:val="121865DB"/>
    <w:rsid w:val="12192C3B"/>
    <w:rsid w:val="121976AB"/>
    <w:rsid w:val="121A05A5"/>
    <w:rsid w:val="121A2353"/>
    <w:rsid w:val="121A2972"/>
    <w:rsid w:val="121A67F7"/>
    <w:rsid w:val="121E003E"/>
    <w:rsid w:val="121E62E8"/>
    <w:rsid w:val="122074D1"/>
    <w:rsid w:val="12221CD5"/>
    <w:rsid w:val="122338FE"/>
    <w:rsid w:val="12244F80"/>
    <w:rsid w:val="12260CF8"/>
    <w:rsid w:val="12280080"/>
    <w:rsid w:val="122B6D21"/>
    <w:rsid w:val="122D02D9"/>
    <w:rsid w:val="12303925"/>
    <w:rsid w:val="12307DC9"/>
    <w:rsid w:val="123238F4"/>
    <w:rsid w:val="1232769D"/>
    <w:rsid w:val="12371157"/>
    <w:rsid w:val="12392E5A"/>
    <w:rsid w:val="123B48D7"/>
    <w:rsid w:val="123C79C2"/>
    <w:rsid w:val="12411DD6"/>
    <w:rsid w:val="12415B32"/>
    <w:rsid w:val="124318AA"/>
    <w:rsid w:val="12443874"/>
    <w:rsid w:val="124610BC"/>
    <w:rsid w:val="124908B1"/>
    <w:rsid w:val="124B075F"/>
    <w:rsid w:val="124D097B"/>
    <w:rsid w:val="124E6914"/>
    <w:rsid w:val="12505D75"/>
    <w:rsid w:val="125062A9"/>
    <w:rsid w:val="12543AB7"/>
    <w:rsid w:val="125515DD"/>
    <w:rsid w:val="1255782F"/>
    <w:rsid w:val="125860AD"/>
    <w:rsid w:val="12597320"/>
    <w:rsid w:val="125C296C"/>
    <w:rsid w:val="125D0492"/>
    <w:rsid w:val="12617F82"/>
    <w:rsid w:val="1265637A"/>
    <w:rsid w:val="12662D98"/>
    <w:rsid w:val="126637EB"/>
    <w:rsid w:val="126A32DB"/>
    <w:rsid w:val="126B0E01"/>
    <w:rsid w:val="126B2BAF"/>
    <w:rsid w:val="126D2DCB"/>
    <w:rsid w:val="126F6B43"/>
    <w:rsid w:val="12745F08"/>
    <w:rsid w:val="12751C80"/>
    <w:rsid w:val="127557DC"/>
    <w:rsid w:val="12767ED2"/>
    <w:rsid w:val="127759F8"/>
    <w:rsid w:val="12781EB2"/>
    <w:rsid w:val="12785B7C"/>
    <w:rsid w:val="127C300E"/>
    <w:rsid w:val="127C4DBC"/>
    <w:rsid w:val="12810624"/>
    <w:rsid w:val="128123D2"/>
    <w:rsid w:val="128276A4"/>
    <w:rsid w:val="12830AEB"/>
    <w:rsid w:val="12850115"/>
    <w:rsid w:val="128656A0"/>
    <w:rsid w:val="128679E9"/>
    <w:rsid w:val="12871737"/>
    <w:rsid w:val="128819B3"/>
    <w:rsid w:val="1288550F"/>
    <w:rsid w:val="12940358"/>
    <w:rsid w:val="129B7938"/>
    <w:rsid w:val="12A444E8"/>
    <w:rsid w:val="12A61E39"/>
    <w:rsid w:val="12A65A60"/>
    <w:rsid w:val="12A85BB1"/>
    <w:rsid w:val="12AA7B7B"/>
    <w:rsid w:val="12AE2BAB"/>
    <w:rsid w:val="12AF0CEE"/>
    <w:rsid w:val="12B02AB5"/>
    <w:rsid w:val="12B24C82"/>
    <w:rsid w:val="12B44556"/>
    <w:rsid w:val="12B45137"/>
    <w:rsid w:val="12B91B6C"/>
    <w:rsid w:val="12BB58E4"/>
    <w:rsid w:val="12BC158B"/>
    <w:rsid w:val="12BE3627"/>
    <w:rsid w:val="12C0114D"/>
    <w:rsid w:val="12C34799"/>
    <w:rsid w:val="12C35C8B"/>
    <w:rsid w:val="12C54F8C"/>
    <w:rsid w:val="12C624DB"/>
    <w:rsid w:val="12C765B7"/>
    <w:rsid w:val="12D335F1"/>
    <w:rsid w:val="12D350B0"/>
    <w:rsid w:val="12D469A6"/>
    <w:rsid w:val="12D60970"/>
    <w:rsid w:val="12D84CD4"/>
    <w:rsid w:val="12DA1AE3"/>
    <w:rsid w:val="12E3308D"/>
    <w:rsid w:val="12E60488"/>
    <w:rsid w:val="12EC1F42"/>
    <w:rsid w:val="12F41661"/>
    <w:rsid w:val="12F45349"/>
    <w:rsid w:val="12F47048"/>
    <w:rsid w:val="12F51579"/>
    <w:rsid w:val="12F5384D"/>
    <w:rsid w:val="12F62DC0"/>
    <w:rsid w:val="12F708E7"/>
    <w:rsid w:val="12F72695"/>
    <w:rsid w:val="12FB7C72"/>
    <w:rsid w:val="12FD414F"/>
    <w:rsid w:val="12FD7CCA"/>
    <w:rsid w:val="12FE1C75"/>
    <w:rsid w:val="13021765"/>
    <w:rsid w:val="13042B7A"/>
    <w:rsid w:val="13054DB2"/>
    <w:rsid w:val="13082AF4"/>
    <w:rsid w:val="130C4392"/>
    <w:rsid w:val="130F60A2"/>
    <w:rsid w:val="13144FF5"/>
    <w:rsid w:val="13167841"/>
    <w:rsid w:val="131909C4"/>
    <w:rsid w:val="131B45D5"/>
    <w:rsid w:val="131E7C21"/>
    <w:rsid w:val="131F2662"/>
    <w:rsid w:val="132058E6"/>
    <w:rsid w:val="13207E3D"/>
    <w:rsid w:val="13225964"/>
    <w:rsid w:val="1323348A"/>
    <w:rsid w:val="1324792E"/>
    <w:rsid w:val="13250FB0"/>
    <w:rsid w:val="13255454"/>
    <w:rsid w:val="132900D9"/>
    <w:rsid w:val="13294F44"/>
    <w:rsid w:val="13385187"/>
    <w:rsid w:val="13386F35"/>
    <w:rsid w:val="13392CAD"/>
    <w:rsid w:val="133B6A25"/>
    <w:rsid w:val="13405DEA"/>
    <w:rsid w:val="13421B62"/>
    <w:rsid w:val="13433B2C"/>
    <w:rsid w:val="134358DA"/>
    <w:rsid w:val="134753CA"/>
    <w:rsid w:val="134830F1"/>
    <w:rsid w:val="13497394"/>
    <w:rsid w:val="134C741F"/>
    <w:rsid w:val="134E6759"/>
    <w:rsid w:val="134F427F"/>
    <w:rsid w:val="13516249"/>
    <w:rsid w:val="13533346"/>
    <w:rsid w:val="13541895"/>
    <w:rsid w:val="13581385"/>
    <w:rsid w:val="135D400E"/>
    <w:rsid w:val="13620456"/>
    <w:rsid w:val="136E2957"/>
    <w:rsid w:val="136F66CF"/>
    <w:rsid w:val="13710699"/>
    <w:rsid w:val="137139DD"/>
    <w:rsid w:val="13743CE5"/>
    <w:rsid w:val="13781A27"/>
    <w:rsid w:val="13783BD1"/>
    <w:rsid w:val="1379754E"/>
    <w:rsid w:val="137B1518"/>
    <w:rsid w:val="137D2B9A"/>
    <w:rsid w:val="13802363"/>
    <w:rsid w:val="13826402"/>
    <w:rsid w:val="138369B1"/>
    <w:rsid w:val="138403CC"/>
    <w:rsid w:val="13871C6A"/>
    <w:rsid w:val="13877EBC"/>
    <w:rsid w:val="138A175B"/>
    <w:rsid w:val="138A52B7"/>
    <w:rsid w:val="138C54D3"/>
    <w:rsid w:val="138C7281"/>
    <w:rsid w:val="138F0B1F"/>
    <w:rsid w:val="138F28CD"/>
    <w:rsid w:val="139525D9"/>
    <w:rsid w:val="13954387"/>
    <w:rsid w:val="13980B7B"/>
    <w:rsid w:val="139A7BF0"/>
    <w:rsid w:val="139B1B3C"/>
    <w:rsid w:val="13A20852"/>
    <w:rsid w:val="13A22600"/>
    <w:rsid w:val="13A4281C"/>
    <w:rsid w:val="13A50343"/>
    <w:rsid w:val="13A66595"/>
    <w:rsid w:val="13A82846"/>
    <w:rsid w:val="13AA1036"/>
    <w:rsid w:val="13AB3BAB"/>
    <w:rsid w:val="13AC7923"/>
    <w:rsid w:val="13B47F15"/>
    <w:rsid w:val="13B81064"/>
    <w:rsid w:val="13BD743A"/>
    <w:rsid w:val="13BF65A8"/>
    <w:rsid w:val="13C139AF"/>
    <w:rsid w:val="13C22CA3"/>
    <w:rsid w:val="13C52BB9"/>
    <w:rsid w:val="13C54541"/>
    <w:rsid w:val="13C702B9"/>
    <w:rsid w:val="13C7650B"/>
    <w:rsid w:val="13C7764A"/>
    <w:rsid w:val="13CA366E"/>
    <w:rsid w:val="13CB7DA9"/>
    <w:rsid w:val="13CC3B21"/>
    <w:rsid w:val="13CD3C97"/>
    <w:rsid w:val="13CF716E"/>
    <w:rsid w:val="13D1738A"/>
    <w:rsid w:val="13D645ED"/>
    <w:rsid w:val="13D6674E"/>
    <w:rsid w:val="13D749A0"/>
    <w:rsid w:val="13D928F9"/>
    <w:rsid w:val="13DA7FEC"/>
    <w:rsid w:val="13DC588E"/>
    <w:rsid w:val="13E0137B"/>
    <w:rsid w:val="13E01C4A"/>
    <w:rsid w:val="13E23345"/>
    <w:rsid w:val="13E250F3"/>
    <w:rsid w:val="13E56991"/>
    <w:rsid w:val="13E76E9C"/>
    <w:rsid w:val="13E9022F"/>
    <w:rsid w:val="13EC7D20"/>
    <w:rsid w:val="13F310AE"/>
    <w:rsid w:val="13F76DF0"/>
    <w:rsid w:val="13FC61B5"/>
    <w:rsid w:val="13FD017F"/>
    <w:rsid w:val="14005579"/>
    <w:rsid w:val="14011A1D"/>
    <w:rsid w:val="14011AE1"/>
    <w:rsid w:val="140212F1"/>
    <w:rsid w:val="14025795"/>
    <w:rsid w:val="14027543"/>
    <w:rsid w:val="14065285"/>
    <w:rsid w:val="140C5DFC"/>
    <w:rsid w:val="14101C60"/>
    <w:rsid w:val="14117786"/>
    <w:rsid w:val="141334FE"/>
    <w:rsid w:val="14171E4D"/>
    <w:rsid w:val="141B23B3"/>
    <w:rsid w:val="141F00F5"/>
    <w:rsid w:val="142100DC"/>
    <w:rsid w:val="14237BE5"/>
    <w:rsid w:val="142474B9"/>
    <w:rsid w:val="14264FE0"/>
    <w:rsid w:val="14285425"/>
    <w:rsid w:val="142B0848"/>
    <w:rsid w:val="143040B0"/>
    <w:rsid w:val="14333776"/>
    <w:rsid w:val="143376FC"/>
    <w:rsid w:val="14357918"/>
    <w:rsid w:val="143A4F2F"/>
    <w:rsid w:val="143A6CDD"/>
    <w:rsid w:val="143C2A65"/>
    <w:rsid w:val="143F2545"/>
    <w:rsid w:val="143F60A1"/>
    <w:rsid w:val="14425B91"/>
    <w:rsid w:val="14472057"/>
    <w:rsid w:val="14495172"/>
    <w:rsid w:val="144B2C98"/>
    <w:rsid w:val="144B64A6"/>
    <w:rsid w:val="144B713C"/>
    <w:rsid w:val="144D4C62"/>
    <w:rsid w:val="144E16AB"/>
    <w:rsid w:val="144F6715"/>
    <w:rsid w:val="14522A66"/>
    <w:rsid w:val="14546200"/>
    <w:rsid w:val="14587163"/>
    <w:rsid w:val="145A5D58"/>
    <w:rsid w:val="145C30F7"/>
    <w:rsid w:val="145F6743"/>
    <w:rsid w:val="146124BC"/>
    <w:rsid w:val="146752C6"/>
    <w:rsid w:val="146C7CA8"/>
    <w:rsid w:val="146F2E2A"/>
    <w:rsid w:val="147246C9"/>
    <w:rsid w:val="14740441"/>
    <w:rsid w:val="14750D5A"/>
    <w:rsid w:val="14757D15"/>
    <w:rsid w:val="14773A8D"/>
    <w:rsid w:val="147A16BB"/>
    <w:rsid w:val="147A17CF"/>
    <w:rsid w:val="147C605C"/>
    <w:rsid w:val="147E12BF"/>
    <w:rsid w:val="147E4E1C"/>
    <w:rsid w:val="14834787"/>
    <w:rsid w:val="14883EEC"/>
    <w:rsid w:val="148B7538"/>
    <w:rsid w:val="14904B4F"/>
    <w:rsid w:val="149208C7"/>
    <w:rsid w:val="149363ED"/>
    <w:rsid w:val="149C206F"/>
    <w:rsid w:val="149F6A62"/>
    <w:rsid w:val="14A01236"/>
    <w:rsid w:val="14A30D26"/>
    <w:rsid w:val="14A32AD4"/>
    <w:rsid w:val="14A34882"/>
    <w:rsid w:val="14A405FA"/>
    <w:rsid w:val="14A625C4"/>
    <w:rsid w:val="14A64372"/>
    <w:rsid w:val="14AA20B4"/>
    <w:rsid w:val="14AA3E63"/>
    <w:rsid w:val="14AA5797"/>
    <w:rsid w:val="14AB1573"/>
    <w:rsid w:val="14AB3737"/>
    <w:rsid w:val="14AC29C6"/>
    <w:rsid w:val="14AD3953"/>
    <w:rsid w:val="14AD5701"/>
    <w:rsid w:val="14B1493F"/>
    <w:rsid w:val="14B20F69"/>
    <w:rsid w:val="14B60A59"/>
    <w:rsid w:val="14BC1DE8"/>
    <w:rsid w:val="14BC5944"/>
    <w:rsid w:val="14BE16BC"/>
    <w:rsid w:val="14C10E56"/>
    <w:rsid w:val="14C249EE"/>
    <w:rsid w:val="14C9266C"/>
    <w:rsid w:val="14CB202B"/>
    <w:rsid w:val="14CF5677"/>
    <w:rsid w:val="14D26E56"/>
    <w:rsid w:val="14D52F59"/>
    <w:rsid w:val="14D62EA9"/>
    <w:rsid w:val="14DB226E"/>
    <w:rsid w:val="14DC7D94"/>
    <w:rsid w:val="14DE562A"/>
    <w:rsid w:val="14E530ED"/>
    <w:rsid w:val="14E939B0"/>
    <w:rsid w:val="14EB6229"/>
    <w:rsid w:val="14ED01F3"/>
    <w:rsid w:val="14EF1875"/>
    <w:rsid w:val="14EF3F6B"/>
    <w:rsid w:val="14EF7AC7"/>
    <w:rsid w:val="14F055ED"/>
    <w:rsid w:val="14F90946"/>
    <w:rsid w:val="14FB646C"/>
    <w:rsid w:val="14FE7D0A"/>
    <w:rsid w:val="15015A4D"/>
    <w:rsid w:val="15033573"/>
    <w:rsid w:val="15063063"/>
    <w:rsid w:val="15082937"/>
    <w:rsid w:val="150A2B53"/>
    <w:rsid w:val="150D2643"/>
    <w:rsid w:val="150F0169"/>
    <w:rsid w:val="150F1F18"/>
    <w:rsid w:val="15107A3E"/>
    <w:rsid w:val="15121A08"/>
    <w:rsid w:val="1514752E"/>
    <w:rsid w:val="15155054"/>
    <w:rsid w:val="151D2886"/>
    <w:rsid w:val="151D5C6D"/>
    <w:rsid w:val="15205ED3"/>
    <w:rsid w:val="1525559D"/>
    <w:rsid w:val="15267261"/>
    <w:rsid w:val="1528122B"/>
    <w:rsid w:val="15284D87"/>
    <w:rsid w:val="152E4A94"/>
    <w:rsid w:val="152F3A77"/>
    <w:rsid w:val="152F4368"/>
    <w:rsid w:val="152F6116"/>
    <w:rsid w:val="15325C06"/>
    <w:rsid w:val="1534197E"/>
    <w:rsid w:val="1534372C"/>
    <w:rsid w:val="153674A4"/>
    <w:rsid w:val="153876C0"/>
    <w:rsid w:val="15393438"/>
    <w:rsid w:val="153951E6"/>
    <w:rsid w:val="153E0A4F"/>
    <w:rsid w:val="15400323"/>
    <w:rsid w:val="15403BB8"/>
    <w:rsid w:val="154047C7"/>
    <w:rsid w:val="1542409B"/>
    <w:rsid w:val="15453B8B"/>
    <w:rsid w:val="154B2D39"/>
    <w:rsid w:val="154D743D"/>
    <w:rsid w:val="154F0566"/>
    <w:rsid w:val="1557566D"/>
    <w:rsid w:val="15581B10"/>
    <w:rsid w:val="155838BF"/>
    <w:rsid w:val="155B33AF"/>
    <w:rsid w:val="155D0ED5"/>
    <w:rsid w:val="1562699D"/>
    <w:rsid w:val="15632263"/>
    <w:rsid w:val="15634011"/>
    <w:rsid w:val="15667555"/>
    <w:rsid w:val="15673B02"/>
    <w:rsid w:val="156A35F2"/>
    <w:rsid w:val="156E60D3"/>
    <w:rsid w:val="156E7814"/>
    <w:rsid w:val="156F0C08"/>
    <w:rsid w:val="156F30DB"/>
    <w:rsid w:val="1571672E"/>
    <w:rsid w:val="15761F97"/>
    <w:rsid w:val="157846D9"/>
    <w:rsid w:val="15785D0F"/>
    <w:rsid w:val="15794927"/>
    <w:rsid w:val="157D229A"/>
    <w:rsid w:val="157D50D3"/>
    <w:rsid w:val="157E709D"/>
    <w:rsid w:val="15805CC9"/>
    <w:rsid w:val="15826B8D"/>
    <w:rsid w:val="1583615B"/>
    <w:rsid w:val="158703BA"/>
    <w:rsid w:val="158A77F0"/>
    <w:rsid w:val="158D492B"/>
    <w:rsid w:val="1594241D"/>
    <w:rsid w:val="159A3ED7"/>
    <w:rsid w:val="15A5287C"/>
    <w:rsid w:val="15A543F6"/>
    <w:rsid w:val="15A9411A"/>
    <w:rsid w:val="15A97268"/>
    <w:rsid w:val="15AC3C0A"/>
    <w:rsid w:val="15B14D7D"/>
    <w:rsid w:val="15B66837"/>
    <w:rsid w:val="15C03212"/>
    <w:rsid w:val="15C076B6"/>
    <w:rsid w:val="15C42D02"/>
    <w:rsid w:val="15C75F11"/>
    <w:rsid w:val="15CA2D3E"/>
    <w:rsid w:val="15CA5E3E"/>
    <w:rsid w:val="15CB1088"/>
    <w:rsid w:val="15CC7E09"/>
    <w:rsid w:val="15CE3B81"/>
    <w:rsid w:val="15CE592F"/>
    <w:rsid w:val="15CF1DD7"/>
    <w:rsid w:val="15D05B4B"/>
    <w:rsid w:val="15D22C4B"/>
    <w:rsid w:val="15D373E9"/>
    <w:rsid w:val="15D54F0F"/>
    <w:rsid w:val="15D87E6D"/>
    <w:rsid w:val="15DB004C"/>
    <w:rsid w:val="15DB44F0"/>
    <w:rsid w:val="15DE18EA"/>
    <w:rsid w:val="15DF1814"/>
    <w:rsid w:val="15DF2F59"/>
    <w:rsid w:val="15E224A7"/>
    <w:rsid w:val="15E46F00"/>
    <w:rsid w:val="15E57946"/>
    <w:rsid w:val="15E769F0"/>
    <w:rsid w:val="15E92769"/>
    <w:rsid w:val="15E96C0C"/>
    <w:rsid w:val="15EE09F8"/>
    <w:rsid w:val="15EF1E88"/>
    <w:rsid w:val="15F15AC1"/>
    <w:rsid w:val="15FD4466"/>
    <w:rsid w:val="16007D4A"/>
    <w:rsid w:val="1604435F"/>
    <w:rsid w:val="1606156C"/>
    <w:rsid w:val="160A308E"/>
    <w:rsid w:val="160B6B83"/>
    <w:rsid w:val="160C07B5"/>
    <w:rsid w:val="160C2AF1"/>
    <w:rsid w:val="160E0421"/>
    <w:rsid w:val="16150220"/>
    <w:rsid w:val="161672D6"/>
    <w:rsid w:val="161A600B"/>
    <w:rsid w:val="161B1156"/>
    <w:rsid w:val="161D2412"/>
    <w:rsid w:val="161D68B6"/>
    <w:rsid w:val="161F262E"/>
    <w:rsid w:val="162163A6"/>
    <w:rsid w:val="16225C7A"/>
    <w:rsid w:val="16255382"/>
    <w:rsid w:val="16294BEA"/>
    <w:rsid w:val="16310CCA"/>
    <w:rsid w:val="16314110"/>
    <w:rsid w:val="16351E52"/>
    <w:rsid w:val="16397A1B"/>
    <w:rsid w:val="163A3BCD"/>
    <w:rsid w:val="164342FA"/>
    <w:rsid w:val="16442095"/>
    <w:rsid w:val="16461969"/>
    <w:rsid w:val="16467BBB"/>
    <w:rsid w:val="16473933"/>
    <w:rsid w:val="1647529D"/>
    <w:rsid w:val="164976AB"/>
    <w:rsid w:val="164C2CF7"/>
    <w:rsid w:val="164E646B"/>
    <w:rsid w:val="16504AB9"/>
    <w:rsid w:val="1651030E"/>
    <w:rsid w:val="16521C58"/>
    <w:rsid w:val="165247B2"/>
    <w:rsid w:val="165322D8"/>
    <w:rsid w:val="16534086"/>
    <w:rsid w:val="165351E7"/>
    <w:rsid w:val="165770B0"/>
    <w:rsid w:val="165879B7"/>
    <w:rsid w:val="165C118C"/>
    <w:rsid w:val="165D4F05"/>
    <w:rsid w:val="165E095B"/>
    <w:rsid w:val="165E3157"/>
    <w:rsid w:val="16612C47"/>
    <w:rsid w:val="166B3472"/>
    <w:rsid w:val="166E2C6E"/>
    <w:rsid w:val="167209B0"/>
    <w:rsid w:val="1672275E"/>
    <w:rsid w:val="167A7865"/>
    <w:rsid w:val="167C35DD"/>
    <w:rsid w:val="167D7355"/>
    <w:rsid w:val="167F4E7B"/>
    <w:rsid w:val="168067AE"/>
    <w:rsid w:val="168129A1"/>
    <w:rsid w:val="16826356"/>
    <w:rsid w:val="1683791F"/>
    <w:rsid w:val="168406E3"/>
    <w:rsid w:val="16846935"/>
    <w:rsid w:val="168626AD"/>
    <w:rsid w:val="16881F81"/>
    <w:rsid w:val="168868B2"/>
    <w:rsid w:val="16921052"/>
    <w:rsid w:val="1699418F"/>
    <w:rsid w:val="169E17A5"/>
    <w:rsid w:val="16A04D1D"/>
    <w:rsid w:val="16A13043"/>
    <w:rsid w:val="16A22BEB"/>
    <w:rsid w:val="16A3500D"/>
    <w:rsid w:val="16A448E1"/>
    <w:rsid w:val="16A50D85"/>
    <w:rsid w:val="16A6065A"/>
    <w:rsid w:val="16A804D0"/>
    <w:rsid w:val="16B965DF"/>
    <w:rsid w:val="16BC7E7D"/>
    <w:rsid w:val="16BD25D4"/>
    <w:rsid w:val="16BE59A3"/>
    <w:rsid w:val="16C17241"/>
    <w:rsid w:val="16C531D6"/>
    <w:rsid w:val="16CB6312"/>
    <w:rsid w:val="16CB645F"/>
    <w:rsid w:val="16CE195E"/>
    <w:rsid w:val="16D03928"/>
    <w:rsid w:val="16D2144F"/>
    <w:rsid w:val="16D451C7"/>
    <w:rsid w:val="16D66711"/>
    <w:rsid w:val="16D76A65"/>
    <w:rsid w:val="16D90A2F"/>
    <w:rsid w:val="16D927DD"/>
    <w:rsid w:val="16DA0303"/>
    <w:rsid w:val="16DB47A7"/>
    <w:rsid w:val="16DC051F"/>
    <w:rsid w:val="16DC22CD"/>
    <w:rsid w:val="16DC407B"/>
    <w:rsid w:val="16DE1BA1"/>
    <w:rsid w:val="16E11B7C"/>
    <w:rsid w:val="16E178E4"/>
    <w:rsid w:val="16E40AD9"/>
    <w:rsid w:val="16E41182"/>
    <w:rsid w:val="16E42F30"/>
    <w:rsid w:val="16E86EC4"/>
    <w:rsid w:val="16ED0036"/>
    <w:rsid w:val="16ED44DA"/>
    <w:rsid w:val="16F5338F"/>
    <w:rsid w:val="16F8414B"/>
    <w:rsid w:val="16FA2753"/>
    <w:rsid w:val="16FA5561"/>
    <w:rsid w:val="17017F86"/>
    <w:rsid w:val="170250D4"/>
    <w:rsid w:val="17045380"/>
    <w:rsid w:val="1706559C"/>
    <w:rsid w:val="1706734A"/>
    <w:rsid w:val="17092996"/>
    <w:rsid w:val="17120E59"/>
    <w:rsid w:val="17123F41"/>
    <w:rsid w:val="171657DF"/>
    <w:rsid w:val="171750B3"/>
    <w:rsid w:val="171820A2"/>
    <w:rsid w:val="171877C6"/>
    <w:rsid w:val="17214184"/>
    <w:rsid w:val="17233A58"/>
    <w:rsid w:val="17244882"/>
    <w:rsid w:val="17283764"/>
    <w:rsid w:val="17285513"/>
    <w:rsid w:val="172872C1"/>
    <w:rsid w:val="172B6DB1"/>
    <w:rsid w:val="172C07B6"/>
    <w:rsid w:val="172F68A1"/>
    <w:rsid w:val="17345C65"/>
    <w:rsid w:val="173879F6"/>
    <w:rsid w:val="173D4DFB"/>
    <w:rsid w:val="17457E73"/>
    <w:rsid w:val="17484718"/>
    <w:rsid w:val="1749510D"/>
    <w:rsid w:val="174C1201"/>
    <w:rsid w:val="174C7453"/>
    <w:rsid w:val="174F0CF1"/>
    <w:rsid w:val="174F6F43"/>
    <w:rsid w:val="17520AE5"/>
    <w:rsid w:val="17527FA4"/>
    <w:rsid w:val="1753593A"/>
    <w:rsid w:val="17555BDC"/>
    <w:rsid w:val="17571001"/>
    <w:rsid w:val="1759391E"/>
    <w:rsid w:val="175D340E"/>
    <w:rsid w:val="17614581"/>
    <w:rsid w:val="17620A24"/>
    <w:rsid w:val="17626C76"/>
    <w:rsid w:val="17647109"/>
    <w:rsid w:val="17650515"/>
    <w:rsid w:val="1767603B"/>
    <w:rsid w:val="17680005"/>
    <w:rsid w:val="176A5B2B"/>
    <w:rsid w:val="176C18A3"/>
    <w:rsid w:val="176E63A8"/>
    <w:rsid w:val="17707BBF"/>
    <w:rsid w:val="177572AC"/>
    <w:rsid w:val="17776970"/>
    <w:rsid w:val="177F4A52"/>
    <w:rsid w:val="178070FD"/>
    <w:rsid w:val="17822E75"/>
    <w:rsid w:val="178C0E69"/>
    <w:rsid w:val="178C784F"/>
    <w:rsid w:val="178D1819"/>
    <w:rsid w:val="178D5376"/>
    <w:rsid w:val="178F10EE"/>
    <w:rsid w:val="179121DE"/>
    <w:rsid w:val="17930607"/>
    <w:rsid w:val="17935082"/>
    <w:rsid w:val="179901BE"/>
    <w:rsid w:val="179A3525"/>
    <w:rsid w:val="179D7CAF"/>
    <w:rsid w:val="179E6119"/>
    <w:rsid w:val="179E7583"/>
    <w:rsid w:val="179F7397"/>
    <w:rsid w:val="17A252C5"/>
    <w:rsid w:val="17A54DB5"/>
    <w:rsid w:val="17A938FF"/>
    <w:rsid w:val="17A96653"/>
    <w:rsid w:val="17AA4179"/>
    <w:rsid w:val="17AD77C6"/>
    <w:rsid w:val="17B943BD"/>
    <w:rsid w:val="17BA1FA3"/>
    <w:rsid w:val="17BB6387"/>
    <w:rsid w:val="17BE19D3"/>
    <w:rsid w:val="17BF5963"/>
    <w:rsid w:val="17C074F9"/>
    <w:rsid w:val="17C36FE9"/>
    <w:rsid w:val="17CA08B8"/>
    <w:rsid w:val="17CB05D4"/>
    <w:rsid w:val="17CC0594"/>
    <w:rsid w:val="17CE7E68"/>
    <w:rsid w:val="17CF3BE0"/>
    <w:rsid w:val="17CF598E"/>
    <w:rsid w:val="17CF624F"/>
    <w:rsid w:val="17D11706"/>
    <w:rsid w:val="17D2722C"/>
    <w:rsid w:val="17D47448"/>
    <w:rsid w:val="17D631C0"/>
    <w:rsid w:val="17D64F6F"/>
    <w:rsid w:val="17D80CE7"/>
    <w:rsid w:val="17DD00AB"/>
    <w:rsid w:val="17E01949"/>
    <w:rsid w:val="17E458DD"/>
    <w:rsid w:val="17E808A5"/>
    <w:rsid w:val="17EA0A1A"/>
    <w:rsid w:val="17EB6C6C"/>
    <w:rsid w:val="17EC02EE"/>
    <w:rsid w:val="17EC4792"/>
    <w:rsid w:val="17EE050A"/>
    <w:rsid w:val="17EF7DDE"/>
    <w:rsid w:val="17F11DA8"/>
    <w:rsid w:val="17F35B20"/>
    <w:rsid w:val="17F51899"/>
    <w:rsid w:val="17F65611"/>
    <w:rsid w:val="17F84EE5"/>
    <w:rsid w:val="17F92A0B"/>
    <w:rsid w:val="17FB49D5"/>
    <w:rsid w:val="17FD074D"/>
    <w:rsid w:val="1800023D"/>
    <w:rsid w:val="18055854"/>
    <w:rsid w:val="180715CC"/>
    <w:rsid w:val="1807337A"/>
    <w:rsid w:val="180A13B0"/>
    <w:rsid w:val="180D3693"/>
    <w:rsid w:val="180E295A"/>
    <w:rsid w:val="180E78A8"/>
    <w:rsid w:val="181066D2"/>
    <w:rsid w:val="181141F9"/>
    <w:rsid w:val="18114AE8"/>
    <w:rsid w:val="181270D8"/>
    <w:rsid w:val="18167A61"/>
    <w:rsid w:val="18185587"/>
    <w:rsid w:val="181A321F"/>
    <w:rsid w:val="181B0C49"/>
    <w:rsid w:val="181B2628"/>
    <w:rsid w:val="181C2D6A"/>
    <w:rsid w:val="181D494B"/>
    <w:rsid w:val="181E2472"/>
    <w:rsid w:val="18263688"/>
    <w:rsid w:val="182673CD"/>
    <w:rsid w:val="18267CA4"/>
    <w:rsid w:val="18276BEF"/>
    <w:rsid w:val="18291542"/>
    <w:rsid w:val="18292D6F"/>
    <w:rsid w:val="18297794"/>
    <w:rsid w:val="182A7068"/>
    <w:rsid w:val="182C1D22"/>
    <w:rsid w:val="182C4B8E"/>
    <w:rsid w:val="183121A5"/>
    <w:rsid w:val="18325E2D"/>
    <w:rsid w:val="18351C95"/>
    <w:rsid w:val="18357EE7"/>
    <w:rsid w:val="18363C5F"/>
    <w:rsid w:val="18383533"/>
    <w:rsid w:val="183A7AB3"/>
    <w:rsid w:val="183D0B4A"/>
    <w:rsid w:val="183D4FEE"/>
    <w:rsid w:val="183E4127"/>
    <w:rsid w:val="18402742"/>
    <w:rsid w:val="18455C50"/>
    <w:rsid w:val="184B06CD"/>
    <w:rsid w:val="184B14B9"/>
    <w:rsid w:val="184E67CD"/>
    <w:rsid w:val="184E71FB"/>
    <w:rsid w:val="18506ACF"/>
    <w:rsid w:val="18513A2C"/>
    <w:rsid w:val="18561C0B"/>
    <w:rsid w:val="18561DBE"/>
    <w:rsid w:val="18566873"/>
    <w:rsid w:val="185A16FC"/>
    <w:rsid w:val="185A794E"/>
    <w:rsid w:val="185C4B83"/>
    <w:rsid w:val="18602A8A"/>
    <w:rsid w:val="18622CA6"/>
    <w:rsid w:val="18624A54"/>
    <w:rsid w:val="1864257A"/>
    <w:rsid w:val="18651230"/>
    <w:rsid w:val="18657C35"/>
    <w:rsid w:val="1867549B"/>
    <w:rsid w:val="18695DE3"/>
    <w:rsid w:val="186D1037"/>
    <w:rsid w:val="186E2BE4"/>
    <w:rsid w:val="18722EE9"/>
    <w:rsid w:val="187622AE"/>
    <w:rsid w:val="1876405C"/>
    <w:rsid w:val="18770500"/>
    <w:rsid w:val="1878225E"/>
    <w:rsid w:val="18787DD4"/>
    <w:rsid w:val="18820C52"/>
    <w:rsid w:val="188E5849"/>
    <w:rsid w:val="18910E95"/>
    <w:rsid w:val="189310B2"/>
    <w:rsid w:val="18933DAC"/>
    <w:rsid w:val="1895095F"/>
    <w:rsid w:val="18950986"/>
    <w:rsid w:val="1897503E"/>
    <w:rsid w:val="189866C8"/>
    <w:rsid w:val="189F35B2"/>
    <w:rsid w:val="189F7A56"/>
    <w:rsid w:val="18A137CE"/>
    <w:rsid w:val="18A40BC9"/>
    <w:rsid w:val="18AB01A9"/>
    <w:rsid w:val="18AB1F57"/>
    <w:rsid w:val="18AC5CCF"/>
    <w:rsid w:val="18AF5EEB"/>
    <w:rsid w:val="18B0451A"/>
    <w:rsid w:val="18B21538"/>
    <w:rsid w:val="18B232E6"/>
    <w:rsid w:val="18B352B0"/>
    <w:rsid w:val="18B41ECD"/>
    <w:rsid w:val="18BC4164"/>
    <w:rsid w:val="18BD1C8B"/>
    <w:rsid w:val="18BF5433"/>
    <w:rsid w:val="18C179CD"/>
    <w:rsid w:val="18C33745"/>
    <w:rsid w:val="18C43019"/>
    <w:rsid w:val="18C439DD"/>
    <w:rsid w:val="18C64FE3"/>
    <w:rsid w:val="18C662FD"/>
    <w:rsid w:val="18C80336"/>
    <w:rsid w:val="18C96881"/>
    <w:rsid w:val="18CD45C3"/>
    <w:rsid w:val="18CE7660"/>
    <w:rsid w:val="18CF12BC"/>
    <w:rsid w:val="18D05E62"/>
    <w:rsid w:val="18D25736"/>
    <w:rsid w:val="18D314AE"/>
    <w:rsid w:val="18D42D03"/>
    <w:rsid w:val="18D51C09"/>
    <w:rsid w:val="18D62C7B"/>
    <w:rsid w:val="18D70F9E"/>
    <w:rsid w:val="18D77C57"/>
    <w:rsid w:val="18D86AC4"/>
    <w:rsid w:val="18D94D16"/>
    <w:rsid w:val="18DA6CE0"/>
    <w:rsid w:val="18DE057F"/>
    <w:rsid w:val="18E11E1D"/>
    <w:rsid w:val="18E3457B"/>
    <w:rsid w:val="18E37943"/>
    <w:rsid w:val="18E408BA"/>
    <w:rsid w:val="18E422E4"/>
    <w:rsid w:val="18E877E7"/>
    <w:rsid w:val="18EA6E45"/>
    <w:rsid w:val="18ED07C2"/>
    <w:rsid w:val="18ED6A14"/>
    <w:rsid w:val="18EE62E8"/>
    <w:rsid w:val="18F27B86"/>
    <w:rsid w:val="18F41B50"/>
    <w:rsid w:val="18F558C8"/>
    <w:rsid w:val="18F90F15"/>
    <w:rsid w:val="18FC0A05"/>
    <w:rsid w:val="18FC27B3"/>
    <w:rsid w:val="19006747"/>
    <w:rsid w:val="1900791E"/>
    <w:rsid w:val="19033B41"/>
    <w:rsid w:val="19053D5D"/>
    <w:rsid w:val="19063631"/>
    <w:rsid w:val="19067AD5"/>
    <w:rsid w:val="190860B0"/>
    <w:rsid w:val="190A1374"/>
    <w:rsid w:val="190B0C48"/>
    <w:rsid w:val="190B6E9A"/>
    <w:rsid w:val="190C0B53"/>
    <w:rsid w:val="190D49C0"/>
    <w:rsid w:val="19120228"/>
    <w:rsid w:val="19143FA0"/>
    <w:rsid w:val="191775ED"/>
    <w:rsid w:val="191C4C03"/>
    <w:rsid w:val="191F4337"/>
    <w:rsid w:val="192835A8"/>
    <w:rsid w:val="192A37C4"/>
    <w:rsid w:val="192B2350"/>
    <w:rsid w:val="192B3098"/>
    <w:rsid w:val="192D7A43"/>
    <w:rsid w:val="1931274D"/>
    <w:rsid w:val="1934019F"/>
    <w:rsid w:val="19362169"/>
    <w:rsid w:val="1936367C"/>
    <w:rsid w:val="19371A3D"/>
    <w:rsid w:val="19375EE1"/>
    <w:rsid w:val="193E2DCB"/>
    <w:rsid w:val="193F317C"/>
    <w:rsid w:val="193F3379"/>
    <w:rsid w:val="19410B0E"/>
    <w:rsid w:val="19445F08"/>
    <w:rsid w:val="194A0351"/>
    <w:rsid w:val="194A5079"/>
    <w:rsid w:val="194D300E"/>
    <w:rsid w:val="194F4FD8"/>
    <w:rsid w:val="195919B3"/>
    <w:rsid w:val="195A3D7E"/>
    <w:rsid w:val="195E521C"/>
    <w:rsid w:val="195E6FCA"/>
    <w:rsid w:val="19625FB6"/>
    <w:rsid w:val="196547FC"/>
    <w:rsid w:val="196565AA"/>
    <w:rsid w:val="1967566D"/>
    <w:rsid w:val="196A3BC0"/>
    <w:rsid w:val="196D36B1"/>
    <w:rsid w:val="196D545F"/>
    <w:rsid w:val="196E2FB9"/>
    <w:rsid w:val="196F7429"/>
    <w:rsid w:val="19762565"/>
    <w:rsid w:val="19766A09"/>
    <w:rsid w:val="197E141A"/>
    <w:rsid w:val="198253AE"/>
    <w:rsid w:val="19836A30"/>
    <w:rsid w:val="198804EA"/>
    <w:rsid w:val="198B18C3"/>
    <w:rsid w:val="198D3D53"/>
    <w:rsid w:val="19911600"/>
    <w:rsid w:val="19923117"/>
    <w:rsid w:val="19941D53"/>
    <w:rsid w:val="19962C12"/>
    <w:rsid w:val="199649B5"/>
    <w:rsid w:val="1997072D"/>
    <w:rsid w:val="199A1A85"/>
    <w:rsid w:val="199B1FCC"/>
    <w:rsid w:val="199C02DC"/>
    <w:rsid w:val="199C7AF2"/>
    <w:rsid w:val="199E7D0E"/>
    <w:rsid w:val="19A47EFE"/>
    <w:rsid w:val="19A5109C"/>
    <w:rsid w:val="19A60971"/>
    <w:rsid w:val="19A938B8"/>
    <w:rsid w:val="19AA66B3"/>
    <w:rsid w:val="19AB5200"/>
    <w:rsid w:val="19AE3FA6"/>
    <w:rsid w:val="19B117EF"/>
    <w:rsid w:val="19B1359D"/>
    <w:rsid w:val="19B337B9"/>
    <w:rsid w:val="19B412DF"/>
    <w:rsid w:val="19B439B0"/>
    <w:rsid w:val="19B66E06"/>
    <w:rsid w:val="19B94F66"/>
    <w:rsid w:val="19BB08C0"/>
    <w:rsid w:val="19BC1F42"/>
    <w:rsid w:val="19BE215E"/>
    <w:rsid w:val="19C14043"/>
    <w:rsid w:val="19C569FC"/>
    <w:rsid w:val="19C71013"/>
    <w:rsid w:val="19C72DC1"/>
    <w:rsid w:val="19C90262"/>
    <w:rsid w:val="19C92FDD"/>
    <w:rsid w:val="19CA0B03"/>
    <w:rsid w:val="19CA465F"/>
    <w:rsid w:val="19CC6629"/>
    <w:rsid w:val="19CF2978"/>
    <w:rsid w:val="19D379B8"/>
    <w:rsid w:val="19D46FDD"/>
    <w:rsid w:val="19DA2E4F"/>
    <w:rsid w:val="19E219A9"/>
    <w:rsid w:val="19E41BC5"/>
    <w:rsid w:val="19E46AD2"/>
    <w:rsid w:val="19E50C59"/>
    <w:rsid w:val="19E576EB"/>
    <w:rsid w:val="19E638D4"/>
    <w:rsid w:val="19E724C2"/>
    <w:rsid w:val="19EC2827"/>
    <w:rsid w:val="19EC5728"/>
    <w:rsid w:val="19F3005A"/>
    <w:rsid w:val="19F45B80"/>
    <w:rsid w:val="19F65454"/>
    <w:rsid w:val="19FE07AD"/>
    <w:rsid w:val="1A011F79"/>
    <w:rsid w:val="1A02204B"/>
    <w:rsid w:val="1A07140F"/>
    <w:rsid w:val="1A085187"/>
    <w:rsid w:val="1A0928B1"/>
    <w:rsid w:val="1A0A7151"/>
    <w:rsid w:val="1A0F6516"/>
    <w:rsid w:val="1A117C91"/>
    <w:rsid w:val="1A18186E"/>
    <w:rsid w:val="1A18361C"/>
    <w:rsid w:val="1A184665"/>
    <w:rsid w:val="1A1B4EBB"/>
    <w:rsid w:val="1A1C4EE4"/>
    <w:rsid w:val="1A200723"/>
    <w:rsid w:val="1A207E41"/>
    <w:rsid w:val="1A2226ED"/>
    <w:rsid w:val="1A253F8B"/>
    <w:rsid w:val="1A255D39"/>
    <w:rsid w:val="1A293E44"/>
    <w:rsid w:val="1A2A6467"/>
    <w:rsid w:val="1A2B7955"/>
    <w:rsid w:val="1A2C70C8"/>
    <w:rsid w:val="1A2D0A02"/>
    <w:rsid w:val="1A2F489D"/>
    <w:rsid w:val="1A312930"/>
    <w:rsid w:val="1A3348FA"/>
    <w:rsid w:val="1A393593"/>
    <w:rsid w:val="1A3F504D"/>
    <w:rsid w:val="1A402B73"/>
    <w:rsid w:val="1A41348C"/>
    <w:rsid w:val="1A4454F1"/>
    <w:rsid w:val="1A495ECC"/>
    <w:rsid w:val="1A4A57A0"/>
    <w:rsid w:val="1A4E5290"/>
    <w:rsid w:val="1A501008"/>
    <w:rsid w:val="1A50725A"/>
    <w:rsid w:val="1A511840"/>
    <w:rsid w:val="1A524411"/>
    <w:rsid w:val="1A5328A6"/>
    <w:rsid w:val="1A55498A"/>
    <w:rsid w:val="1A58610F"/>
    <w:rsid w:val="1A5B5BFF"/>
    <w:rsid w:val="1A5D1977"/>
    <w:rsid w:val="1A622AE9"/>
    <w:rsid w:val="1A626F8D"/>
    <w:rsid w:val="1A642D06"/>
    <w:rsid w:val="1A646862"/>
    <w:rsid w:val="1A654388"/>
    <w:rsid w:val="1A66082C"/>
    <w:rsid w:val="1A6C3968"/>
    <w:rsid w:val="1A705206"/>
    <w:rsid w:val="1A707A44"/>
    <w:rsid w:val="1A734CF7"/>
    <w:rsid w:val="1A736AA5"/>
    <w:rsid w:val="1A78185D"/>
    <w:rsid w:val="1A7A6085"/>
    <w:rsid w:val="1A7D3DC7"/>
    <w:rsid w:val="1A7F369B"/>
    <w:rsid w:val="1A845156"/>
    <w:rsid w:val="1A8707A2"/>
    <w:rsid w:val="1A890B80"/>
    <w:rsid w:val="1A89276C"/>
    <w:rsid w:val="1A8B0292"/>
    <w:rsid w:val="1A8B64E4"/>
    <w:rsid w:val="1A8C400A"/>
    <w:rsid w:val="1A8E2F23"/>
    <w:rsid w:val="1A903AFB"/>
    <w:rsid w:val="1A914722"/>
    <w:rsid w:val="1A952188"/>
    <w:rsid w:val="1A965DCF"/>
    <w:rsid w:val="1A976C37"/>
    <w:rsid w:val="1A9B01A9"/>
    <w:rsid w:val="1A9C5527"/>
    <w:rsid w:val="1AA2382E"/>
    <w:rsid w:val="1AA43102"/>
    <w:rsid w:val="1AA443DD"/>
    <w:rsid w:val="1AA475A6"/>
    <w:rsid w:val="1AA50C28"/>
    <w:rsid w:val="1AA558FD"/>
    <w:rsid w:val="1AA80E44"/>
    <w:rsid w:val="1AB31597"/>
    <w:rsid w:val="1AB33345"/>
    <w:rsid w:val="1AB5530F"/>
    <w:rsid w:val="1AB71087"/>
    <w:rsid w:val="1AB772D9"/>
    <w:rsid w:val="1AB84DFF"/>
    <w:rsid w:val="1ABC48F0"/>
    <w:rsid w:val="1ABD7CE1"/>
    <w:rsid w:val="1AC3684A"/>
    <w:rsid w:val="1AC437A4"/>
    <w:rsid w:val="1AC57F78"/>
    <w:rsid w:val="1AC6751C"/>
    <w:rsid w:val="1AC81973"/>
    <w:rsid w:val="1ACA77FB"/>
    <w:rsid w:val="1ACC02F4"/>
    <w:rsid w:val="1ACC5BF8"/>
    <w:rsid w:val="1AD05CA5"/>
    <w:rsid w:val="1AD14166"/>
    <w:rsid w:val="1AD67034"/>
    <w:rsid w:val="1AD774CB"/>
    <w:rsid w:val="1AD80FFE"/>
    <w:rsid w:val="1AD9547C"/>
    <w:rsid w:val="1AE16104"/>
    <w:rsid w:val="1AE23C2A"/>
    <w:rsid w:val="1AE6196C"/>
    <w:rsid w:val="1AE87493"/>
    <w:rsid w:val="1AE92FD5"/>
    <w:rsid w:val="1AEC6857"/>
    <w:rsid w:val="1AEE25CF"/>
    <w:rsid w:val="1AF37BE5"/>
    <w:rsid w:val="1AF57E02"/>
    <w:rsid w:val="1AF61E20"/>
    <w:rsid w:val="1AF71484"/>
    <w:rsid w:val="1AF91EE2"/>
    <w:rsid w:val="1B012302"/>
    <w:rsid w:val="1B040045"/>
    <w:rsid w:val="1B063DBD"/>
    <w:rsid w:val="1B0A4E62"/>
    <w:rsid w:val="1B0B3181"/>
    <w:rsid w:val="1B0F0EC3"/>
    <w:rsid w:val="1B102388"/>
    <w:rsid w:val="1B102545"/>
    <w:rsid w:val="1B13673A"/>
    <w:rsid w:val="1B1464DA"/>
    <w:rsid w:val="1B1C6A07"/>
    <w:rsid w:val="1B1E67F8"/>
    <w:rsid w:val="1B1F6C2C"/>
    <w:rsid w:val="1B200CF6"/>
    <w:rsid w:val="1B202389"/>
    <w:rsid w:val="1B2129A5"/>
    <w:rsid w:val="1B252495"/>
    <w:rsid w:val="1B281F85"/>
    <w:rsid w:val="1B283D33"/>
    <w:rsid w:val="1B28788F"/>
    <w:rsid w:val="1B2A7529"/>
    <w:rsid w:val="1B2C4AF4"/>
    <w:rsid w:val="1B2E0C1E"/>
    <w:rsid w:val="1B3214AD"/>
    <w:rsid w:val="1B351FAC"/>
    <w:rsid w:val="1B3660A5"/>
    <w:rsid w:val="1B390BDC"/>
    <w:rsid w:val="1B397CEE"/>
    <w:rsid w:val="1B3A5814"/>
    <w:rsid w:val="1B3A75C2"/>
    <w:rsid w:val="1B3C333B"/>
    <w:rsid w:val="1B3C77DE"/>
    <w:rsid w:val="1B3E3557"/>
    <w:rsid w:val="1B3E67C7"/>
    <w:rsid w:val="1B3F1AEC"/>
    <w:rsid w:val="1B3F31E7"/>
    <w:rsid w:val="1B4072CF"/>
    <w:rsid w:val="1B43291B"/>
    <w:rsid w:val="1B4A1EFB"/>
    <w:rsid w:val="1B4B17D0"/>
    <w:rsid w:val="1B4D5548"/>
    <w:rsid w:val="1B4E55E8"/>
    <w:rsid w:val="1B55264E"/>
    <w:rsid w:val="1B55540D"/>
    <w:rsid w:val="1B5763C6"/>
    <w:rsid w:val="1B5B5EB7"/>
    <w:rsid w:val="1B5E7755"/>
    <w:rsid w:val="1B5F527B"/>
    <w:rsid w:val="1B60171F"/>
    <w:rsid w:val="1B632FBD"/>
    <w:rsid w:val="1B656D35"/>
    <w:rsid w:val="1B6603B7"/>
    <w:rsid w:val="1B666391"/>
    <w:rsid w:val="1B684130"/>
    <w:rsid w:val="1B697EA8"/>
    <w:rsid w:val="1B6A411B"/>
    <w:rsid w:val="1B6B1E72"/>
    <w:rsid w:val="1B6D7998"/>
    <w:rsid w:val="1B7156DA"/>
    <w:rsid w:val="1B721452"/>
    <w:rsid w:val="1B724934"/>
    <w:rsid w:val="1B725332"/>
    <w:rsid w:val="1B746F78"/>
    <w:rsid w:val="1B784D5A"/>
    <w:rsid w:val="1B785BC3"/>
    <w:rsid w:val="1B7D1180"/>
    <w:rsid w:val="1B803B6F"/>
    <w:rsid w:val="1B811695"/>
    <w:rsid w:val="1B813443"/>
    <w:rsid w:val="1B830F69"/>
    <w:rsid w:val="1B851185"/>
    <w:rsid w:val="1B860A5A"/>
    <w:rsid w:val="1B882A24"/>
    <w:rsid w:val="1B8942FC"/>
    <w:rsid w:val="1B8C20A0"/>
    <w:rsid w:val="1B8E7170"/>
    <w:rsid w:val="1B903686"/>
    <w:rsid w:val="1B9211AC"/>
    <w:rsid w:val="1B925650"/>
    <w:rsid w:val="1B93683E"/>
    <w:rsid w:val="1B965141"/>
    <w:rsid w:val="1B972C67"/>
    <w:rsid w:val="1B9756C7"/>
    <w:rsid w:val="1B9969DF"/>
    <w:rsid w:val="1B9E2247"/>
    <w:rsid w:val="1BA07D6D"/>
    <w:rsid w:val="1BA64C58"/>
    <w:rsid w:val="1BA6520F"/>
    <w:rsid w:val="1BA809D0"/>
    <w:rsid w:val="1BA84E74"/>
    <w:rsid w:val="1BAA42E5"/>
    <w:rsid w:val="1BAA4748"/>
    <w:rsid w:val="1BB074A7"/>
    <w:rsid w:val="1BB12279"/>
    <w:rsid w:val="1BB235FD"/>
    <w:rsid w:val="1BB278B2"/>
    <w:rsid w:val="1BB34C01"/>
    <w:rsid w:val="1BB42A48"/>
    <w:rsid w:val="1BB47375"/>
    <w:rsid w:val="1BBD111D"/>
    <w:rsid w:val="1BBE01F3"/>
    <w:rsid w:val="1BBE6445"/>
    <w:rsid w:val="1BC83FED"/>
    <w:rsid w:val="1BD143CB"/>
    <w:rsid w:val="1BD17F27"/>
    <w:rsid w:val="1BD47A17"/>
    <w:rsid w:val="1BD6378F"/>
    <w:rsid w:val="1BD87507"/>
    <w:rsid w:val="1BDB2B53"/>
    <w:rsid w:val="1BDC68CC"/>
    <w:rsid w:val="1BE0443F"/>
    <w:rsid w:val="1BE20386"/>
    <w:rsid w:val="1BE51C24"/>
    <w:rsid w:val="1BEA2D97"/>
    <w:rsid w:val="1BEA723A"/>
    <w:rsid w:val="1BED2887"/>
    <w:rsid w:val="1BEE6D2B"/>
    <w:rsid w:val="1BF260EF"/>
    <w:rsid w:val="1BF730CC"/>
    <w:rsid w:val="1BF81957"/>
    <w:rsid w:val="1BF9122C"/>
    <w:rsid w:val="1BFA15BA"/>
    <w:rsid w:val="1BFA4BA9"/>
    <w:rsid w:val="1BFC2ACA"/>
    <w:rsid w:val="1BFD51C0"/>
    <w:rsid w:val="1BFE4A94"/>
    <w:rsid w:val="1BFE6842"/>
    <w:rsid w:val="1C00080C"/>
    <w:rsid w:val="1C0320AA"/>
    <w:rsid w:val="1C033E58"/>
    <w:rsid w:val="1C0D4CD7"/>
    <w:rsid w:val="1C0F0A4F"/>
    <w:rsid w:val="1C131164"/>
    <w:rsid w:val="1C177904"/>
    <w:rsid w:val="1C1A3D35"/>
    <w:rsid w:val="1C1D13BE"/>
    <w:rsid w:val="1C1D316C"/>
    <w:rsid w:val="1C1E6EE4"/>
    <w:rsid w:val="1C200EAE"/>
    <w:rsid w:val="1C220782"/>
    <w:rsid w:val="1C2344FA"/>
    <w:rsid w:val="1C250273"/>
    <w:rsid w:val="1C25688F"/>
    <w:rsid w:val="1C2834AF"/>
    <w:rsid w:val="1C2A5889"/>
    <w:rsid w:val="1C2C33AF"/>
    <w:rsid w:val="1C2F2E9F"/>
    <w:rsid w:val="1C305C28"/>
    <w:rsid w:val="1C316C17"/>
    <w:rsid w:val="1C381D54"/>
    <w:rsid w:val="1C3861F8"/>
    <w:rsid w:val="1C3E1334"/>
    <w:rsid w:val="1C404676"/>
    <w:rsid w:val="1C4050AC"/>
    <w:rsid w:val="1C40546F"/>
    <w:rsid w:val="1C411611"/>
    <w:rsid w:val="1C420E24"/>
    <w:rsid w:val="1C422936"/>
    <w:rsid w:val="1C422BD3"/>
    <w:rsid w:val="1C44369C"/>
    <w:rsid w:val="1C4526C3"/>
    <w:rsid w:val="1C471722"/>
    <w:rsid w:val="1C4A7CD9"/>
    <w:rsid w:val="1C4E1577"/>
    <w:rsid w:val="1C533032"/>
    <w:rsid w:val="1C542906"/>
    <w:rsid w:val="1C556DAA"/>
    <w:rsid w:val="1C5751EF"/>
    <w:rsid w:val="1C57764B"/>
    <w:rsid w:val="1C5841A4"/>
    <w:rsid w:val="1C5A616E"/>
    <w:rsid w:val="1C5B1EE6"/>
    <w:rsid w:val="1C5C588F"/>
    <w:rsid w:val="1C5D0DEA"/>
    <w:rsid w:val="1C5D5C5E"/>
    <w:rsid w:val="1C5F3784"/>
    <w:rsid w:val="1C6012AB"/>
    <w:rsid w:val="1C624C5C"/>
    <w:rsid w:val="1C64535B"/>
    <w:rsid w:val="1C6A2CCA"/>
    <w:rsid w:val="1C6C40F3"/>
    <w:rsid w:val="1C6C5EA1"/>
    <w:rsid w:val="1C6E7E6B"/>
    <w:rsid w:val="1C730FDE"/>
    <w:rsid w:val="1C744D56"/>
    <w:rsid w:val="1C76287C"/>
    <w:rsid w:val="1C766D20"/>
    <w:rsid w:val="1C7A6810"/>
    <w:rsid w:val="1C8036FB"/>
    <w:rsid w:val="1C8054A9"/>
    <w:rsid w:val="1C827473"/>
    <w:rsid w:val="1C850D11"/>
    <w:rsid w:val="1C8925AF"/>
    <w:rsid w:val="1C8B27CB"/>
    <w:rsid w:val="1C8D7465"/>
    <w:rsid w:val="1C901B90"/>
    <w:rsid w:val="1C983F97"/>
    <w:rsid w:val="1C9B0535"/>
    <w:rsid w:val="1CA13386"/>
    <w:rsid w:val="1CA33B7A"/>
    <w:rsid w:val="1CA4388D"/>
    <w:rsid w:val="1CA473E9"/>
    <w:rsid w:val="1CA76EDA"/>
    <w:rsid w:val="1CA94295"/>
    <w:rsid w:val="1CB02232"/>
    <w:rsid w:val="1CB03FE0"/>
    <w:rsid w:val="1CB1569A"/>
    <w:rsid w:val="1CB313F6"/>
    <w:rsid w:val="1CB33AD0"/>
    <w:rsid w:val="1CB80CC2"/>
    <w:rsid w:val="1CB810E7"/>
    <w:rsid w:val="1CBA4E5F"/>
    <w:rsid w:val="1CC16394"/>
    <w:rsid w:val="1CC17F9B"/>
    <w:rsid w:val="1CC57360"/>
    <w:rsid w:val="1CC63804"/>
    <w:rsid w:val="1CC655B2"/>
    <w:rsid w:val="1CCB0E1A"/>
    <w:rsid w:val="1CCC4B92"/>
    <w:rsid w:val="1CCE50AB"/>
    <w:rsid w:val="1CD75A11"/>
    <w:rsid w:val="1CD777BF"/>
    <w:rsid w:val="1CD81789"/>
    <w:rsid w:val="1CDA105D"/>
    <w:rsid w:val="1CDC3027"/>
    <w:rsid w:val="1CDD0B4D"/>
    <w:rsid w:val="1CDF48C5"/>
    <w:rsid w:val="1CE04199"/>
    <w:rsid w:val="1CE13520"/>
    <w:rsid w:val="1CE912A0"/>
    <w:rsid w:val="1CEC0B38"/>
    <w:rsid w:val="1CEF0D6A"/>
    <w:rsid w:val="1CF2284B"/>
    <w:rsid w:val="1CF245F9"/>
    <w:rsid w:val="1CF71C0F"/>
    <w:rsid w:val="1CF87735"/>
    <w:rsid w:val="1CF91450"/>
    <w:rsid w:val="1CFA34AD"/>
    <w:rsid w:val="1CFB6B14"/>
    <w:rsid w:val="1CFC0FD3"/>
    <w:rsid w:val="1CFD4D4B"/>
    <w:rsid w:val="1CFE0ACE"/>
    <w:rsid w:val="1CFE39B3"/>
    <w:rsid w:val="1D013201"/>
    <w:rsid w:val="1D036806"/>
    <w:rsid w:val="1D04257E"/>
    <w:rsid w:val="1D05064B"/>
    <w:rsid w:val="1D063C00"/>
    <w:rsid w:val="1D085BCA"/>
    <w:rsid w:val="1D097B94"/>
    <w:rsid w:val="1D0D1432"/>
    <w:rsid w:val="1D0E6F59"/>
    <w:rsid w:val="1D13456F"/>
    <w:rsid w:val="1D1463AF"/>
    <w:rsid w:val="1D175E0D"/>
    <w:rsid w:val="1D1D0F4A"/>
    <w:rsid w:val="1D1E3640"/>
    <w:rsid w:val="1D210A3A"/>
    <w:rsid w:val="1D217272"/>
    <w:rsid w:val="1D24052A"/>
    <w:rsid w:val="1D2624F4"/>
    <w:rsid w:val="1D2642A2"/>
    <w:rsid w:val="1D271DC8"/>
    <w:rsid w:val="1D28626C"/>
    <w:rsid w:val="1D2B18B9"/>
    <w:rsid w:val="1D2D3883"/>
    <w:rsid w:val="1D2E3157"/>
    <w:rsid w:val="1D300C7D"/>
    <w:rsid w:val="1D306ECF"/>
    <w:rsid w:val="1D323BEA"/>
    <w:rsid w:val="1D33076D"/>
    <w:rsid w:val="1D3369BF"/>
    <w:rsid w:val="1D344C11"/>
    <w:rsid w:val="1D350989"/>
    <w:rsid w:val="1D37200B"/>
    <w:rsid w:val="1D3A6EB1"/>
    <w:rsid w:val="1D3C45B0"/>
    <w:rsid w:val="1D4028B0"/>
    <w:rsid w:val="1D440BCC"/>
    <w:rsid w:val="1D44297A"/>
    <w:rsid w:val="1D444728"/>
    <w:rsid w:val="1D48246B"/>
    <w:rsid w:val="1D483B5E"/>
    <w:rsid w:val="1D485A34"/>
    <w:rsid w:val="1D497F91"/>
    <w:rsid w:val="1D4B1F5B"/>
    <w:rsid w:val="1D4E37F9"/>
    <w:rsid w:val="1D510AE8"/>
    <w:rsid w:val="1D5A3F4C"/>
    <w:rsid w:val="1D5B165F"/>
    <w:rsid w:val="1D61352C"/>
    <w:rsid w:val="1D613CFF"/>
    <w:rsid w:val="1D6628F1"/>
    <w:rsid w:val="1D6848BB"/>
    <w:rsid w:val="1D686669"/>
    <w:rsid w:val="1D6F3E9B"/>
    <w:rsid w:val="1D707746"/>
    <w:rsid w:val="1D7274E7"/>
    <w:rsid w:val="1D74271B"/>
    <w:rsid w:val="1D74500E"/>
    <w:rsid w:val="1D752B34"/>
    <w:rsid w:val="1D792624"/>
    <w:rsid w:val="1D793696"/>
    <w:rsid w:val="1D7B2840"/>
    <w:rsid w:val="1D7C2114"/>
    <w:rsid w:val="1D7C2A4E"/>
    <w:rsid w:val="1D7E5E8C"/>
    <w:rsid w:val="1D7F39B2"/>
    <w:rsid w:val="1D835E99"/>
    <w:rsid w:val="1D837852"/>
    <w:rsid w:val="1D87505B"/>
    <w:rsid w:val="1D882867"/>
    <w:rsid w:val="1D8B05A9"/>
    <w:rsid w:val="1D943902"/>
    <w:rsid w:val="1D96212B"/>
    <w:rsid w:val="1D9751A0"/>
    <w:rsid w:val="1D992CC6"/>
    <w:rsid w:val="1D9B6A3E"/>
    <w:rsid w:val="1D9E208B"/>
    <w:rsid w:val="1D9E652E"/>
    <w:rsid w:val="1DA358F3"/>
    <w:rsid w:val="1DA376A1"/>
    <w:rsid w:val="1DA63635"/>
    <w:rsid w:val="1DA653E3"/>
    <w:rsid w:val="1DA76CE9"/>
    <w:rsid w:val="1DA90224"/>
    <w:rsid w:val="1DAF24EA"/>
    <w:rsid w:val="1DB00010"/>
    <w:rsid w:val="1DB4365C"/>
    <w:rsid w:val="1DB63878"/>
    <w:rsid w:val="1DBA2C3C"/>
    <w:rsid w:val="1DBB07B3"/>
    <w:rsid w:val="1DBB3E80"/>
    <w:rsid w:val="1DBC4C07"/>
    <w:rsid w:val="1DBE44DB"/>
    <w:rsid w:val="1DC064A5"/>
    <w:rsid w:val="1DC1221D"/>
    <w:rsid w:val="1DC15EBD"/>
    <w:rsid w:val="1DC677BF"/>
    <w:rsid w:val="1DC75A85"/>
    <w:rsid w:val="1DC87107"/>
    <w:rsid w:val="1DCA6A28"/>
    <w:rsid w:val="1DCB4E4A"/>
    <w:rsid w:val="1DCE0BB5"/>
    <w:rsid w:val="1DCE5DF1"/>
    <w:rsid w:val="1DD106B2"/>
    <w:rsid w:val="1DD41F50"/>
    <w:rsid w:val="1DD45AAC"/>
    <w:rsid w:val="1DD957B9"/>
    <w:rsid w:val="1DDA0348"/>
    <w:rsid w:val="1DDA6E3B"/>
    <w:rsid w:val="1DDB1D29"/>
    <w:rsid w:val="1DDD3E82"/>
    <w:rsid w:val="1DDE2DCF"/>
    <w:rsid w:val="1DDF4451"/>
    <w:rsid w:val="1DE57CB9"/>
    <w:rsid w:val="1DE63A32"/>
    <w:rsid w:val="1DE76C7D"/>
    <w:rsid w:val="1DEB1048"/>
    <w:rsid w:val="1DF24184"/>
    <w:rsid w:val="1DF24CB1"/>
    <w:rsid w:val="1DF3687A"/>
    <w:rsid w:val="1DF428D0"/>
    <w:rsid w:val="1DF61EC7"/>
    <w:rsid w:val="1DF779ED"/>
    <w:rsid w:val="1DF93765"/>
    <w:rsid w:val="1DFB128B"/>
    <w:rsid w:val="1DFB74DD"/>
    <w:rsid w:val="1DFD5F2E"/>
    <w:rsid w:val="1E00462C"/>
    <w:rsid w:val="1E026A6D"/>
    <w:rsid w:val="1E026ABD"/>
    <w:rsid w:val="1E0344C3"/>
    <w:rsid w:val="1E0345E3"/>
    <w:rsid w:val="1E043C8E"/>
    <w:rsid w:val="1E05210A"/>
    <w:rsid w:val="1E0839A8"/>
    <w:rsid w:val="1E0B5EA4"/>
    <w:rsid w:val="1E0D5462"/>
    <w:rsid w:val="1E0F74D8"/>
    <w:rsid w:val="1E110AAE"/>
    <w:rsid w:val="1E122A78"/>
    <w:rsid w:val="1E1C5E73"/>
    <w:rsid w:val="1E1F6FCD"/>
    <w:rsid w:val="1E206F43"/>
    <w:rsid w:val="1E240E65"/>
    <w:rsid w:val="1E255A10"/>
    <w:rsid w:val="1E28404A"/>
    <w:rsid w:val="1E2F7187"/>
    <w:rsid w:val="1E340C41"/>
    <w:rsid w:val="1E3649B9"/>
    <w:rsid w:val="1E366767"/>
    <w:rsid w:val="1E366995"/>
    <w:rsid w:val="1E396257"/>
    <w:rsid w:val="1E3B5B2B"/>
    <w:rsid w:val="1E3C7C36"/>
    <w:rsid w:val="1E3D5BFF"/>
    <w:rsid w:val="1E3D7AF5"/>
    <w:rsid w:val="1E3F5B0A"/>
    <w:rsid w:val="1E402DD2"/>
    <w:rsid w:val="1E407A47"/>
    <w:rsid w:val="1E42510C"/>
    <w:rsid w:val="1E430E84"/>
    <w:rsid w:val="1E4337F7"/>
    <w:rsid w:val="1E454BFC"/>
    <w:rsid w:val="1E4569AA"/>
    <w:rsid w:val="1E462655"/>
    <w:rsid w:val="1E480248"/>
    <w:rsid w:val="1E4A2212"/>
    <w:rsid w:val="1E4E3AB1"/>
    <w:rsid w:val="1E4F15D7"/>
    <w:rsid w:val="1E522E75"/>
    <w:rsid w:val="1E5B585E"/>
    <w:rsid w:val="1E5B61CE"/>
    <w:rsid w:val="1E5B7F7C"/>
    <w:rsid w:val="1E5D1F46"/>
    <w:rsid w:val="1E5E7A6C"/>
    <w:rsid w:val="1E5F5CBE"/>
    <w:rsid w:val="1E605592"/>
    <w:rsid w:val="1E62755C"/>
    <w:rsid w:val="1E641526"/>
    <w:rsid w:val="1E642E65"/>
    <w:rsid w:val="1E646E41"/>
    <w:rsid w:val="1E65704C"/>
    <w:rsid w:val="1E6A01BF"/>
    <w:rsid w:val="1E6C3F37"/>
    <w:rsid w:val="1E6E4153"/>
    <w:rsid w:val="1E703E54"/>
    <w:rsid w:val="1E707ECB"/>
    <w:rsid w:val="1E7159F1"/>
    <w:rsid w:val="1E733517"/>
    <w:rsid w:val="1E7352C5"/>
    <w:rsid w:val="1E763007"/>
    <w:rsid w:val="1E76353D"/>
    <w:rsid w:val="1E7A19C6"/>
    <w:rsid w:val="1E8079E2"/>
    <w:rsid w:val="1E816369"/>
    <w:rsid w:val="1E85324A"/>
    <w:rsid w:val="1E892D3B"/>
    <w:rsid w:val="1E8B27F3"/>
    <w:rsid w:val="1E8E0351"/>
    <w:rsid w:val="1E921F13"/>
    <w:rsid w:val="1E9516DF"/>
    <w:rsid w:val="1E9811D0"/>
    <w:rsid w:val="1E996A18"/>
    <w:rsid w:val="1E9B0CC0"/>
    <w:rsid w:val="1E9F255E"/>
    <w:rsid w:val="1EA0459D"/>
    <w:rsid w:val="1EA25BAA"/>
    <w:rsid w:val="1EA57449"/>
    <w:rsid w:val="1EAC07D7"/>
    <w:rsid w:val="1EAC4C7B"/>
    <w:rsid w:val="1EAD3EF6"/>
    <w:rsid w:val="1EB12291"/>
    <w:rsid w:val="1EB15DEE"/>
    <w:rsid w:val="1EB21D4C"/>
    <w:rsid w:val="1EB44560"/>
    <w:rsid w:val="1EB54C3E"/>
    <w:rsid w:val="1EB678A8"/>
    <w:rsid w:val="1EB8717C"/>
    <w:rsid w:val="1EB9506A"/>
    <w:rsid w:val="1EBC4EF7"/>
    <w:rsid w:val="1EBD4792"/>
    <w:rsid w:val="1EBF050A"/>
    <w:rsid w:val="1EC10726"/>
    <w:rsid w:val="1EC27FFB"/>
    <w:rsid w:val="1EC51899"/>
    <w:rsid w:val="1EC864DF"/>
    <w:rsid w:val="1EC91F8E"/>
    <w:rsid w:val="1EC93137"/>
    <w:rsid w:val="1ECB1941"/>
    <w:rsid w:val="1ECB3353"/>
    <w:rsid w:val="1ECC5D06"/>
    <w:rsid w:val="1ECE699F"/>
    <w:rsid w:val="1ED02718"/>
    <w:rsid w:val="1ED16490"/>
    <w:rsid w:val="1ED42809"/>
    <w:rsid w:val="1ED55F80"/>
    <w:rsid w:val="1ED57D2E"/>
    <w:rsid w:val="1EDB183D"/>
    <w:rsid w:val="1EDF0BAD"/>
    <w:rsid w:val="1EE066D3"/>
    <w:rsid w:val="1EE2244B"/>
    <w:rsid w:val="1EE937D9"/>
    <w:rsid w:val="1EEA12FF"/>
    <w:rsid w:val="1EEF0477"/>
    <w:rsid w:val="1EEF32C8"/>
    <w:rsid w:val="1EF26162"/>
    <w:rsid w:val="1EF8106D"/>
    <w:rsid w:val="1EF87EC0"/>
    <w:rsid w:val="1EFA0DBC"/>
    <w:rsid w:val="1EFA1543"/>
    <w:rsid w:val="1EFB350D"/>
    <w:rsid w:val="1F0060BE"/>
    <w:rsid w:val="1F022AED"/>
    <w:rsid w:val="1F02489B"/>
    <w:rsid w:val="1F043C4B"/>
    <w:rsid w:val="1F070103"/>
    <w:rsid w:val="1F073C5F"/>
    <w:rsid w:val="1F0857D3"/>
    <w:rsid w:val="1F093E7B"/>
    <w:rsid w:val="1F0B19A2"/>
    <w:rsid w:val="1F0B4912"/>
    <w:rsid w:val="1F100D66"/>
    <w:rsid w:val="1F1072F4"/>
    <w:rsid w:val="1F120F82"/>
    <w:rsid w:val="1F12334B"/>
    <w:rsid w:val="1F187E58"/>
    <w:rsid w:val="1F1B770B"/>
    <w:rsid w:val="1F1C1896"/>
    <w:rsid w:val="1F220A99"/>
    <w:rsid w:val="1F242A63"/>
    <w:rsid w:val="1F2604CF"/>
    <w:rsid w:val="1F29007A"/>
    <w:rsid w:val="1F2D7B6A"/>
    <w:rsid w:val="1F2E743E"/>
    <w:rsid w:val="1F3031B6"/>
    <w:rsid w:val="1F30765A"/>
    <w:rsid w:val="1F3507CD"/>
    <w:rsid w:val="1F3A2287"/>
    <w:rsid w:val="1F3B5112"/>
    <w:rsid w:val="1F3C5FFF"/>
    <w:rsid w:val="1F3D1AEC"/>
    <w:rsid w:val="1F3E1D77"/>
    <w:rsid w:val="1F4159DF"/>
    <w:rsid w:val="1F41736D"/>
    <w:rsid w:val="1F446C62"/>
    <w:rsid w:val="1F460C2C"/>
    <w:rsid w:val="1F470500"/>
    <w:rsid w:val="1F4721BB"/>
    <w:rsid w:val="1F4924CA"/>
    <w:rsid w:val="1F494278"/>
    <w:rsid w:val="1F4D3D68"/>
    <w:rsid w:val="1F5275D0"/>
    <w:rsid w:val="1F536EA5"/>
    <w:rsid w:val="1F58270D"/>
    <w:rsid w:val="1F5A3986"/>
    <w:rsid w:val="1F62533A"/>
    <w:rsid w:val="1F6410B2"/>
    <w:rsid w:val="1F6457D9"/>
    <w:rsid w:val="1F64740B"/>
    <w:rsid w:val="1F6778D5"/>
    <w:rsid w:val="1F6A2B6C"/>
    <w:rsid w:val="1F6A2CF4"/>
    <w:rsid w:val="1F6B41EE"/>
    <w:rsid w:val="1F6C46FC"/>
    <w:rsid w:val="1F6D61B8"/>
    <w:rsid w:val="1F6F0182"/>
    <w:rsid w:val="1F707A57"/>
    <w:rsid w:val="1F72557D"/>
    <w:rsid w:val="1F7312F5"/>
    <w:rsid w:val="1F770DE5"/>
    <w:rsid w:val="1F7C289F"/>
    <w:rsid w:val="1F7C464D"/>
    <w:rsid w:val="1F7F5EEC"/>
    <w:rsid w:val="1F813A12"/>
    <w:rsid w:val="1F887176"/>
    <w:rsid w:val="1F8B4471"/>
    <w:rsid w:val="1F8C2591"/>
    <w:rsid w:val="1F8D0609"/>
    <w:rsid w:val="1F8D23B7"/>
    <w:rsid w:val="1F8F4381"/>
    <w:rsid w:val="1F9000F9"/>
    <w:rsid w:val="1F933745"/>
    <w:rsid w:val="1F9359CA"/>
    <w:rsid w:val="1F957FE9"/>
    <w:rsid w:val="1F973235"/>
    <w:rsid w:val="1F9829F1"/>
    <w:rsid w:val="1F996FAD"/>
    <w:rsid w:val="1F9C4CF0"/>
    <w:rsid w:val="1F9D7414"/>
    <w:rsid w:val="1F9F20EA"/>
    <w:rsid w:val="1F9F2549"/>
    <w:rsid w:val="1FA161B8"/>
    <w:rsid w:val="1FA3695C"/>
    <w:rsid w:val="1FA45952"/>
    <w:rsid w:val="1FA83694"/>
    <w:rsid w:val="1FAB0A8F"/>
    <w:rsid w:val="1FB02549"/>
    <w:rsid w:val="1FB042F7"/>
    <w:rsid w:val="1FB21E1D"/>
    <w:rsid w:val="1FB42039"/>
    <w:rsid w:val="1FB43DE7"/>
    <w:rsid w:val="1FB555B5"/>
    <w:rsid w:val="1FB57B5F"/>
    <w:rsid w:val="1FB738D7"/>
    <w:rsid w:val="1FB75686"/>
    <w:rsid w:val="1FBC2C9C"/>
    <w:rsid w:val="1FBE07C2"/>
    <w:rsid w:val="1FBE4C66"/>
    <w:rsid w:val="1FBF278C"/>
    <w:rsid w:val="1FBF6080"/>
    <w:rsid w:val="1FC14756"/>
    <w:rsid w:val="1FC57DA2"/>
    <w:rsid w:val="1FC61D6D"/>
    <w:rsid w:val="1FC658C9"/>
    <w:rsid w:val="1FC87893"/>
    <w:rsid w:val="1FC97167"/>
    <w:rsid w:val="1FCA53B9"/>
    <w:rsid w:val="1FCC5382"/>
    <w:rsid w:val="1FCF29CF"/>
    <w:rsid w:val="1FD42E4A"/>
    <w:rsid w:val="1FD44489"/>
    <w:rsid w:val="1FD55B0C"/>
    <w:rsid w:val="1FD67353"/>
    <w:rsid w:val="1FD86B10"/>
    <w:rsid w:val="1FD955FC"/>
    <w:rsid w:val="1FDC3F0E"/>
    <w:rsid w:val="1FDC50EC"/>
    <w:rsid w:val="1FE12702"/>
    <w:rsid w:val="1FE208E3"/>
    <w:rsid w:val="1FE50445"/>
    <w:rsid w:val="1FE65F6B"/>
    <w:rsid w:val="1FE741BD"/>
    <w:rsid w:val="1FEA15B7"/>
    <w:rsid w:val="1FEB3581"/>
    <w:rsid w:val="1FED554B"/>
    <w:rsid w:val="1FF04F55"/>
    <w:rsid w:val="1FF22B62"/>
    <w:rsid w:val="1FF40688"/>
    <w:rsid w:val="1FF57F5C"/>
    <w:rsid w:val="1FF64400"/>
    <w:rsid w:val="1FFC753C"/>
    <w:rsid w:val="1FFD6FC8"/>
    <w:rsid w:val="1FFE1506"/>
    <w:rsid w:val="2000527E"/>
    <w:rsid w:val="200563F1"/>
    <w:rsid w:val="2007660D"/>
    <w:rsid w:val="2009466C"/>
    <w:rsid w:val="200B7CB5"/>
    <w:rsid w:val="20120B0E"/>
    <w:rsid w:val="201221D2"/>
    <w:rsid w:val="20166850"/>
    <w:rsid w:val="201725C8"/>
    <w:rsid w:val="20184032"/>
    <w:rsid w:val="201900EE"/>
    <w:rsid w:val="20191E9C"/>
    <w:rsid w:val="201B7F11"/>
    <w:rsid w:val="201C198C"/>
    <w:rsid w:val="201C7BDE"/>
    <w:rsid w:val="202251F5"/>
    <w:rsid w:val="202279CC"/>
    <w:rsid w:val="20247B33"/>
    <w:rsid w:val="202661BC"/>
    <w:rsid w:val="20270A5D"/>
    <w:rsid w:val="202820DF"/>
    <w:rsid w:val="202A22FB"/>
    <w:rsid w:val="202C5CD5"/>
    <w:rsid w:val="202D1DEC"/>
    <w:rsid w:val="202D3B9A"/>
    <w:rsid w:val="202D76F6"/>
    <w:rsid w:val="202F7912"/>
    <w:rsid w:val="20307817"/>
    <w:rsid w:val="20337402"/>
    <w:rsid w:val="203767C6"/>
    <w:rsid w:val="203B74FB"/>
    <w:rsid w:val="20401B1F"/>
    <w:rsid w:val="2041079C"/>
    <w:rsid w:val="20441240"/>
    <w:rsid w:val="20441B19"/>
    <w:rsid w:val="204809D3"/>
    <w:rsid w:val="20491AFF"/>
    <w:rsid w:val="204A474C"/>
    <w:rsid w:val="204C4020"/>
    <w:rsid w:val="20547378"/>
    <w:rsid w:val="20566C4C"/>
    <w:rsid w:val="20580C17"/>
    <w:rsid w:val="205904EB"/>
    <w:rsid w:val="20596377"/>
    <w:rsid w:val="205A1432"/>
    <w:rsid w:val="205B3F14"/>
    <w:rsid w:val="20623843"/>
    <w:rsid w:val="20631369"/>
    <w:rsid w:val="20663493"/>
    <w:rsid w:val="206770AC"/>
    <w:rsid w:val="2069018D"/>
    <w:rsid w:val="206A124F"/>
    <w:rsid w:val="206A26F8"/>
    <w:rsid w:val="206C46C2"/>
    <w:rsid w:val="206F41B2"/>
    <w:rsid w:val="207417C9"/>
    <w:rsid w:val="20756A8B"/>
    <w:rsid w:val="2076109D"/>
    <w:rsid w:val="2078256A"/>
    <w:rsid w:val="20796DDF"/>
    <w:rsid w:val="207B66B3"/>
    <w:rsid w:val="20814E29"/>
    <w:rsid w:val="20823EE5"/>
    <w:rsid w:val="20827A42"/>
    <w:rsid w:val="20887022"/>
    <w:rsid w:val="208C08C0"/>
    <w:rsid w:val="208C266E"/>
    <w:rsid w:val="20937EA1"/>
    <w:rsid w:val="209459C7"/>
    <w:rsid w:val="2096173F"/>
    <w:rsid w:val="20992FDD"/>
    <w:rsid w:val="209B0B03"/>
    <w:rsid w:val="209D2ACD"/>
    <w:rsid w:val="20A0219D"/>
    <w:rsid w:val="20A0611A"/>
    <w:rsid w:val="20A21E92"/>
    <w:rsid w:val="20A7394C"/>
    <w:rsid w:val="20AB38D2"/>
    <w:rsid w:val="20B00A53"/>
    <w:rsid w:val="20B35E4D"/>
    <w:rsid w:val="20B60991"/>
    <w:rsid w:val="20B63B8F"/>
    <w:rsid w:val="20B87907"/>
    <w:rsid w:val="20B87A68"/>
    <w:rsid w:val="20BB779D"/>
    <w:rsid w:val="20BD6CCC"/>
    <w:rsid w:val="20BF0C96"/>
    <w:rsid w:val="20BF45FE"/>
    <w:rsid w:val="20C04A0E"/>
    <w:rsid w:val="20C2264C"/>
    <w:rsid w:val="20C359E2"/>
    <w:rsid w:val="20C475A8"/>
    <w:rsid w:val="20C70459"/>
    <w:rsid w:val="20CF4C51"/>
    <w:rsid w:val="20D12777"/>
    <w:rsid w:val="20D44015"/>
    <w:rsid w:val="20D76A4F"/>
    <w:rsid w:val="20D81D57"/>
    <w:rsid w:val="20DD2ECA"/>
    <w:rsid w:val="20DD55C0"/>
    <w:rsid w:val="20DD736E"/>
    <w:rsid w:val="20DF4E94"/>
    <w:rsid w:val="20E029BA"/>
    <w:rsid w:val="20E701EC"/>
    <w:rsid w:val="20E71F9A"/>
    <w:rsid w:val="20E91C39"/>
    <w:rsid w:val="20E93F65"/>
    <w:rsid w:val="20E95D13"/>
    <w:rsid w:val="20E97AC1"/>
    <w:rsid w:val="20EA3839"/>
    <w:rsid w:val="20EC7F46"/>
    <w:rsid w:val="20EF0E4F"/>
    <w:rsid w:val="20F14BC7"/>
    <w:rsid w:val="20F52909"/>
    <w:rsid w:val="20F841A8"/>
    <w:rsid w:val="20FA1CCE"/>
    <w:rsid w:val="20FB47F1"/>
    <w:rsid w:val="20FE3064"/>
    <w:rsid w:val="20FE7F6F"/>
    <w:rsid w:val="2102069D"/>
    <w:rsid w:val="21044904"/>
    <w:rsid w:val="21050673"/>
    <w:rsid w:val="21052421"/>
    <w:rsid w:val="210617F6"/>
    <w:rsid w:val="2106288F"/>
    <w:rsid w:val="21082292"/>
    <w:rsid w:val="21093CBF"/>
    <w:rsid w:val="210963B5"/>
    <w:rsid w:val="210F504D"/>
    <w:rsid w:val="21101606"/>
    <w:rsid w:val="21112AEB"/>
    <w:rsid w:val="21132D8F"/>
    <w:rsid w:val="21156B08"/>
    <w:rsid w:val="211663DC"/>
    <w:rsid w:val="21167FB1"/>
    <w:rsid w:val="211A411E"/>
    <w:rsid w:val="211D59BC"/>
    <w:rsid w:val="211F7986"/>
    <w:rsid w:val="21246D4B"/>
    <w:rsid w:val="212705E9"/>
    <w:rsid w:val="21294B90"/>
    <w:rsid w:val="212B632B"/>
    <w:rsid w:val="2130749E"/>
    <w:rsid w:val="21333432"/>
    <w:rsid w:val="21350F58"/>
    <w:rsid w:val="21352D06"/>
    <w:rsid w:val="21354AB4"/>
    <w:rsid w:val="2136082C"/>
    <w:rsid w:val="2139058F"/>
    <w:rsid w:val="213A031C"/>
    <w:rsid w:val="213B4094"/>
    <w:rsid w:val="213C106E"/>
    <w:rsid w:val="21423675"/>
    <w:rsid w:val="2144119B"/>
    <w:rsid w:val="21472A39"/>
    <w:rsid w:val="21515666"/>
    <w:rsid w:val="21521B0A"/>
    <w:rsid w:val="215238B8"/>
    <w:rsid w:val="21580F60"/>
    <w:rsid w:val="215C112A"/>
    <w:rsid w:val="215F4227"/>
    <w:rsid w:val="215F5FD5"/>
    <w:rsid w:val="216058A9"/>
    <w:rsid w:val="21613AFB"/>
    <w:rsid w:val="2164183D"/>
    <w:rsid w:val="21661111"/>
    <w:rsid w:val="21677702"/>
    <w:rsid w:val="21747CD2"/>
    <w:rsid w:val="21771570"/>
    <w:rsid w:val="21780E44"/>
    <w:rsid w:val="21791B17"/>
    <w:rsid w:val="218477E9"/>
    <w:rsid w:val="21867A05"/>
    <w:rsid w:val="2188552B"/>
    <w:rsid w:val="218872DA"/>
    <w:rsid w:val="21894E00"/>
    <w:rsid w:val="218B0B78"/>
    <w:rsid w:val="218E68BA"/>
    <w:rsid w:val="218F632D"/>
    <w:rsid w:val="21963C10"/>
    <w:rsid w:val="21966EE6"/>
    <w:rsid w:val="2197576F"/>
    <w:rsid w:val="219858A3"/>
    <w:rsid w:val="219A0DBB"/>
    <w:rsid w:val="219A700D"/>
    <w:rsid w:val="219F4623"/>
    <w:rsid w:val="21A954A2"/>
    <w:rsid w:val="21AE2AB8"/>
    <w:rsid w:val="21B207FA"/>
    <w:rsid w:val="21B46321"/>
    <w:rsid w:val="21B73DA1"/>
    <w:rsid w:val="21B77BBF"/>
    <w:rsid w:val="21BA29EC"/>
    <w:rsid w:val="21BA648F"/>
    <w:rsid w:val="21BC51D5"/>
    <w:rsid w:val="21BC592B"/>
    <w:rsid w:val="21BE719F"/>
    <w:rsid w:val="21C10A3D"/>
    <w:rsid w:val="21C1459A"/>
    <w:rsid w:val="21C80A64"/>
    <w:rsid w:val="21C9221A"/>
    <w:rsid w:val="21CC489A"/>
    <w:rsid w:val="21CF315A"/>
    <w:rsid w:val="21D346AB"/>
    <w:rsid w:val="21DA4ABB"/>
    <w:rsid w:val="21DA565B"/>
    <w:rsid w:val="21DF2C72"/>
    <w:rsid w:val="21DF3CBC"/>
    <w:rsid w:val="21E8421C"/>
    <w:rsid w:val="21E93AF0"/>
    <w:rsid w:val="21EA7F94"/>
    <w:rsid w:val="21ED1832"/>
    <w:rsid w:val="21ED538F"/>
    <w:rsid w:val="21F229A5"/>
    <w:rsid w:val="21F66939"/>
    <w:rsid w:val="21F93D33"/>
    <w:rsid w:val="21FA7AAB"/>
    <w:rsid w:val="21FB544E"/>
    <w:rsid w:val="21FC3824"/>
    <w:rsid w:val="21FD424E"/>
    <w:rsid w:val="21FF50C2"/>
    <w:rsid w:val="2203477E"/>
    <w:rsid w:val="2205092A"/>
    <w:rsid w:val="220550C4"/>
    <w:rsid w:val="220646A2"/>
    <w:rsid w:val="22081212"/>
    <w:rsid w:val="220E3E9E"/>
    <w:rsid w:val="220F17A9"/>
    <w:rsid w:val="22160B82"/>
    <w:rsid w:val="22160D89"/>
    <w:rsid w:val="22192627"/>
    <w:rsid w:val="2221772E"/>
    <w:rsid w:val="22235254"/>
    <w:rsid w:val="22255CB0"/>
    <w:rsid w:val="222B4109"/>
    <w:rsid w:val="222E39F2"/>
    <w:rsid w:val="222F59A7"/>
    <w:rsid w:val="2230171F"/>
    <w:rsid w:val="22317971"/>
    <w:rsid w:val="2235037E"/>
    <w:rsid w:val="22352F4F"/>
    <w:rsid w:val="223631D9"/>
    <w:rsid w:val="22370D00"/>
    <w:rsid w:val="22396826"/>
    <w:rsid w:val="223B434C"/>
    <w:rsid w:val="22401962"/>
    <w:rsid w:val="22407BB4"/>
    <w:rsid w:val="22435553"/>
    <w:rsid w:val="22456F79"/>
    <w:rsid w:val="22462CF1"/>
    <w:rsid w:val="224A0A33"/>
    <w:rsid w:val="224A5DEE"/>
    <w:rsid w:val="224C47AB"/>
    <w:rsid w:val="224F66C7"/>
    <w:rsid w:val="22544271"/>
    <w:rsid w:val="2254540E"/>
    <w:rsid w:val="22574EFE"/>
    <w:rsid w:val="2258347D"/>
    <w:rsid w:val="22592A24"/>
    <w:rsid w:val="22603DB2"/>
    <w:rsid w:val="2267320D"/>
    <w:rsid w:val="22682C67"/>
    <w:rsid w:val="2268469D"/>
    <w:rsid w:val="227930C6"/>
    <w:rsid w:val="227B299A"/>
    <w:rsid w:val="22833F45"/>
    <w:rsid w:val="22851A6B"/>
    <w:rsid w:val="22861BB4"/>
    <w:rsid w:val="22873A35"/>
    <w:rsid w:val="2288155B"/>
    <w:rsid w:val="228952D6"/>
    <w:rsid w:val="228A52D3"/>
    <w:rsid w:val="228A7081"/>
    <w:rsid w:val="228C4BA7"/>
    <w:rsid w:val="22910410"/>
    <w:rsid w:val="229121BE"/>
    <w:rsid w:val="229323DA"/>
    <w:rsid w:val="22943A5C"/>
    <w:rsid w:val="22965A26"/>
    <w:rsid w:val="2297314D"/>
    <w:rsid w:val="2298179E"/>
    <w:rsid w:val="22995516"/>
    <w:rsid w:val="229C0B63"/>
    <w:rsid w:val="229D6DB5"/>
    <w:rsid w:val="229F23A9"/>
    <w:rsid w:val="22A279E3"/>
    <w:rsid w:val="22A5292D"/>
    <w:rsid w:val="22A6463F"/>
    <w:rsid w:val="22AF4D3A"/>
    <w:rsid w:val="22AF6AE8"/>
    <w:rsid w:val="22B02E93"/>
    <w:rsid w:val="22B20386"/>
    <w:rsid w:val="22B42350"/>
    <w:rsid w:val="22B83BEE"/>
    <w:rsid w:val="22B97967"/>
    <w:rsid w:val="22BA2B41"/>
    <w:rsid w:val="22BD7457"/>
    <w:rsid w:val="22BF3958"/>
    <w:rsid w:val="22C00CF5"/>
    <w:rsid w:val="22C32593"/>
    <w:rsid w:val="22C34341"/>
    <w:rsid w:val="22C37E78"/>
    <w:rsid w:val="22C47BC7"/>
    <w:rsid w:val="22C500B9"/>
    <w:rsid w:val="22C72083"/>
    <w:rsid w:val="22C73E32"/>
    <w:rsid w:val="22C81958"/>
    <w:rsid w:val="22CA3922"/>
    <w:rsid w:val="22CC58EC"/>
    <w:rsid w:val="22CC769A"/>
    <w:rsid w:val="22CD6F6E"/>
    <w:rsid w:val="22CE3DE1"/>
    <w:rsid w:val="22D0247C"/>
    <w:rsid w:val="22D26F9A"/>
    <w:rsid w:val="22D30A28"/>
    <w:rsid w:val="22D32038"/>
    <w:rsid w:val="22D4654E"/>
    <w:rsid w:val="22D73594"/>
    <w:rsid w:val="22DA1DB7"/>
    <w:rsid w:val="22DB2732"/>
    <w:rsid w:val="22DE117B"/>
    <w:rsid w:val="22E20C6B"/>
    <w:rsid w:val="22E26EBD"/>
    <w:rsid w:val="22E56673"/>
    <w:rsid w:val="22EC3898"/>
    <w:rsid w:val="22EE5862"/>
    <w:rsid w:val="22EF5136"/>
    <w:rsid w:val="22F015DA"/>
    <w:rsid w:val="22F06E95"/>
    <w:rsid w:val="22F10EAE"/>
    <w:rsid w:val="22F610D4"/>
    <w:rsid w:val="22F64717"/>
    <w:rsid w:val="22F91688"/>
    <w:rsid w:val="22F97D63"/>
    <w:rsid w:val="22FE5EAE"/>
    <w:rsid w:val="23007343"/>
    <w:rsid w:val="230961F8"/>
    <w:rsid w:val="230B46F7"/>
    <w:rsid w:val="231177A3"/>
    <w:rsid w:val="2318643B"/>
    <w:rsid w:val="231F3C6E"/>
    <w:rsid w:val="2322375E"/>
    <w:rsid w:val="232272BA"/>
    <w:rsid w:val="23243032"/>
    <w:rsid w:val="232474D6"/>
    <w:rsid w:val="23256DAA"/>
    <w:rsid w:val="23266F64"/>
    <w:rsid w:val="232E2103"/>
    <w:rsid w:val="23333275"/>
    <w:rsid w:val="233410FB"/>
    <w:rsid w:val="23360FB7"/>
    <w:rsid w:val="233A2855"/>
    <w:rsid w:val="233B65CE"/>
    <w:rsid w:val="233C0AA7"/>
    <w:rsid w:val="233C7E85"/>
    <w:rsid w:val="233F7E6C"/>
    <w:rsid w:val="23400C60"/>
    <w:rsid w:val="23405992"/>
    <w:rsid w:val="23413B6C"/>
    <w:rsid w:val="23424D4C"/>
    <w:rsid w:val="23425BAE"/>
    <w:rsid w:val="23443C2E"/>
    <w:rsid w:val="23471B9A"/>
    <w:rsid w:val="23492A98"/>
    <w:rsid w:val="234B4A63"/>
    <w:rsid w:val="234B6811"/>
    <w:rsid w:val="234E2B8D"/>
    <w:rsid w:val="2350373B"/>
    <w:rsid w:val="23515DF1"/>
    <w:rsid w:val="235356C5"/>
    <w:rsid w:val="23571659"/>
    <w:rsid w:val="235A2EF8"/>
    <w:rsid w:val="235D4796"/>
    <w:rsid w:val="235D6544"/>
    <w:rsid w:val="235F406A"/>
    <w:rsid w:val="23607DE2"/>
    <w:rsid w:val="23645B24"/>
    <w:rsid w:val="236525C6"/>
    <w:rsid w:val="23670458"/>
    <w:rsid w:val="23694EE9"/>
    <w:rsid w:val="236B2A0F"/>
    <w:rsid w:val="237017BB"/>
    <w:rsid w:val="23720241"/>
    <w:rsid w:val="23733FB9"/>
    <w:rsid w:val="23775858"/>
    <w:rsid w:val="237B2072"/>
    <w:rsid w:val="237D0994"/>
    <w:rsid w:val="237D3DBF"/>
    <w:rsid w:val="23810484"/>
    <w:rsid w:val="238167DD"/>
    <w:rsid w:val="23827D58"/>
    <w:rsid w:val="23867849"/>
    <w:rsid w:val="23874C53"/>
    <w:rsid w:val="238B4E5F"/>
    <w:rsid w:val="238C0BD7"/>
    <w:rsid w:val="238E2BA1"/>
    <w:rsid w:val="23922691"/>
    <w:rsid w:val="23971A56"/>
    <w:rsid w:val="239B0E1A"/>
    <w:rsid w:val="239B54EE"/>
    <w:rsid w:val="239F6B5C"/>
    <w:rsid w:val="23A45F21"/>
    <w:rsid w:val="23A6613D"/>
    <w:rsid w:val="23A81EB5"/>
    <w:rsid w:val="23AB72AF"/>
    <w:rsid w:val="23AC73C6"/>
    <w:rsid w:val="23AD1279"/>
    <w:rsid w:val="23AF69F1"/>
    <w:rsid w:val="23B048C6"/>
    <w:rsid w:val="23B1063E"/>
    <w:rsid w:val="23B12896"/>
    <w:rsid w:val="23B1699D"/>
    <w:rsid w:val="23B567AE"/>
    <w:rsid w:val="23BA1BE8"/>
    <w:rsid w:val="23C12F77"/>
    <w:rsid w:val="23C16AD3"/>
    <w:rsid w:val="23C44815"/>
    <w:rsid w:val="23C465C3"/>
    <w:rsid w:val="23C6233B"/>
    <w:rsid w:val="23C71C0F"/>
    <w:rsid w:val="23C95987"/>
    <w:rsid w:val="23CB0902"/>
    <w:rsid w:val="23CB5BA3"/>
    <w:rsid w:val="23D83E1C"/>
    <w:rsid w:val="23D902C0"/>
    <w:rsid w:val="23DA1943"/>
    <w:rsid w:val="23DA5DE6"/>
    <w:rsid w:val="23DD452A"/>
    <w:rsid w:val="23DE7685"/>
    <w:rsid w:val="23DF33FD"/>
    <w:rsid w:val="23E10F23"/>
    <w:rsid w:val="23E11A3F"/>
    <w:rsid w:val="23EB7FF4"/>
    <w:rsid w:val="23EC49CB"/>
    <w:rsid w:val="23ED5B1A"/>
    <w:rsid w:val="23ED78C8"/>
    <w:rsid w:val="23EE53EE"/>
    <w:rsid w:val="23EF1892"/>
    <w:rsid w:val="23F30C56"/>
    <w:rsid w:val="23F316BB"/>
    <w:rsid w:val="23F76998"/>
    <w:rsid w:val="23FA1FE5"/>
    <w:rsid w:val="23FB0F42"/>
    <w:rsid w:val="23FF584D"/>
    <w:rsid w:val="23FF75FB"/>
    <w:rsid w:val="240115C5"/>
    <w:rsid w:val="24053736"/>
    <w:rsid w:val="240B5FA0"/>
    <w:rsid w:val="240D03B4"/>
    <w:rsid w:val="24101808"/>
    <w:rsid w:val="24120C2B"/>
    <w:rsid w:val="2412732E"/>
    <w:rsid w:val="2423778D"/>
    <w:rsid w:val="24270741"/>
    <w:rsid w:val="24284DA4"/>
    <w:rsid w:val="24294678"/>
    <w:rsid w:val="242A28CA"/>
    <w:rsid w:val="242D23BA"/>
    <w:rsid w:val="242F6132"/>
    <w:rsid w:val="242F7EE0"/>
    <w:rsid w:val="2432177F"/>
    <w:rsid w:val="24343749"/>
    <w:rsid w:val="2435126F"/>
    <w:rsid w:val="243D6307"/>
    <w:rsid w:val="243E45C7"/>
    <w:rsid w:val="24415E66"/>
    <w:rsid w:val="24447AE2"/>
    <w:rsid w:val="244634F4"/>
    <w:rsid w:val="244871F4"/>
    <w:rsid w:val="244A4A61"/>
    <w:rsid w:val="244B2840"/>
    <w:rsid w:val="24507E57"/>
    <w:rsid w:val="24523BCF"/>
    <w:rsid w:val="245331CC"/>
    <w:rsid w:val="245416F5"/>
    <w:rsid w:val="24547947"/>
    <w:rsid w:val="24553E63"/>
    <w:rsid w:val="24594F5D"/>
    <w:rsid w:val="245B6F27"/>
    <w:rsid w:val="24672CC0"/>
    <w:rsid w:val="246D0A09"/>
    <w:rsid w:val="246D27B7"/>
    <w:rsid w:val="246D6C5B"/>
    <w:rsid w:val="246F652F"/>
    <w:rsid w:val="2471674B"/>
    <w:rsid w:val="24763848"/>
    <w:rsid w:val="247A6377"/>
    <w:rsid w:val="247B3126"/>
    <w:rsid w:val="247C12B5"/>
    <w:rsid w:val="247D473D"/>
    <w:rsid w:val="247D533D"/>
    <w:rsid w:val="247F48A9"/>
    <w:rsid w:val="24801C84"/>
    <w:rsid w:val="24827E18"/>
    <w:rsid w:val="248A1F83"/>
    <w:rsid w:val="248C70E1"/>
    <w:rsid w:val="248D10AB"/>
    <w:rsid w:val="248F4E23"/>
    <w:rsid w:val="249266C1"/>
    <w:rsid w:val="249338EE"/>
    <w:rsid w:val="24963225"/>
    <w:rsid w:val="24973CD7"/>
    <w:rsid w:val="249B7324"/>
    <w:rsid w:val="24A54C36"/>
    <w:rsid w:val="24A65CC9"/>
    <w:rsid w:val="24A87C93"/>
    <w:rsid w:val="24AA57B9"/>
    <w:rsid w:val="24AB32DF"/>
    <w:rsid w:val="24AF2DCF"/>
    <w:rsid w:val="24B14D99"/>
    <w:rsid w:val="24B32246"/>
    <w:rsid w:val="24C148B0"/>
    <w:rsid w:val="24C22B02"/>
    <w:rsid w:val="24C31569"/>
    <w:rsid w:val="24C52063"/>
    <w:rsid w:val="24C525F3"/>
    <w:rsid w:val="24C7636B"/>
    <w:rsid w:val="24C820E3"/>
    <w:rsid w:val="24C828EC"/>
    <w:rsid w:val="24C9231F"/>
    <w:rsid w:val="24CA5E5B"/>
    <w:rsid w:val="24CC1BD3"/>
    <w:rsid w:val="24D12D46"/>
    <w:rsid w:val="24D272B7"/>
    <w:rsid w:val="24D42836"/>
    <w:rsid w:val="24D5291D"/>
    <w:rsid w:val="24D52D8A"/>
    <w:rsid w:val="24D80578"/>
    <w:rsid w:val="24DB3BC4"/>
    <w:rsid w:val="24E011DB"/>
    <w:rsid w:val="24E15127"/>
    <w:rsid w:val="24E366A7"/>
    <w:rsid w:val="24E54A43"/>
    <w:rsid w:val="24EA2059"/>
    <w:rsid w:val="24EA3E07"/>
    <w:rsid w:val="24EC5DD1"/>
    <w:rsid w:val="24EC7B7F"/>
    <w:rsid w:val="24EE1B49"/>
    <w:rsid w:val="24EF141E"/>
    <w:rsid w:val="24F133E8"/>
    <w:rsid w:val="24F15196"/>
    <w:rsid w:val="24F428B9"/>
    <w:rsid w:val="24F5112A"/>
    <w:rsid w:val="24F66C50"/>
    <w:rsid w:val="24F9229C"/>
    <w:rsid w:val="24FA386E"/>
    <w:rsid w:val="24FD1D8D"/>
    <w:rsid w:val="24FE78B3"/>
    <w:rsid w:val="2500362B"/>
    <w:rsid w:val="250273A3"/>
    <w:rsid w:val="2504136D"/>
    <w:rsid w:val="25056E93"/>
    <w:rsid w:val="25076767"/>
    <w:rsid w:val="250C30B2"/>
    <w:rsid w:val="250E3F9A"/>
    <w:rsid w:val="251175E6"/>
    <w:rsid w:val="251315B0"/>
    <w:rsid w:val="25131ABA"/>
    <w:rsid w:val="25134965"/>
    <w:rsid w:val="25144415"/>
    <w:rsid w:val="25145328"/>
    <w:rsid w:val="25184E18"/>
    <w:rsid w:val="251946ED"/>
    <w:rsid w:val="251A0B90"/>
    <w:rsid w:val="251B2213"/>
    <w:rsid w:val="25253091"/>
    <w:rsid w:val="25292B82"/>
    <w:rsid w:val="252A06A8"/>
    <w:rsid w:val="252A68FA"/>
    <w:rsid w:val="252D7486"/>
    <w:rsid w:val="252E63EA"/>
    <w:rsid w:val="25302162"/>
    <w:rsid w:val="253024AD"/>
    <w:rsid w:val="25311A36"/>
    <w:rsid w:val="25331C52"/>
    <w:rsid w:val="25333A00"/>
    <w:rsid w:val="2536529E"/>
    <w:rsid w:val="2536704D"/>
    <w:rsid w:val="25377C12"/>
    <w:rsid w:val="25382DC5"/>
    <w:rsid w:val="253C3621"/>
    <w:rsid w:val="253D487F"/>
    <w:rsid w:val="253E6F65"/>
    <w:rsid w:val="253F4153"/>
    <w:rsid w:val="25401C79"/>
    <w:rsid w:val="25423C43"/>
    <w:rsid w:val="25493224"/>
    <w:rsid w:val="255319AC"/>
    <w:rsid w:val="25545725"/>
    <w:rsid w:val="25551BC9"/>
    <w:rsid w:val="255552F4"/>
    <w:rsid w:val="2556149D"/>
    <w:rsid w:val="255676EF"/>
    <w:rsid w:val="2557082B"/>
    <w:rsid w:val="255B2F57"/>
    <w:rsid w:val="255C33E9"/>
    <w:rsid w:val="2561056D"/>
    <w:rsid w:val="256242E5"/>
    <w:rsid w:val="25626093"/>
    <w:rsid w:val="2564005E"/>
    <w:rsid w:val="25643BBA"/>
    <w:rsid w:val="256B319A"/>
    <w:rsid w:val="256C0CC0"/>
    <w:rsid w:val="256E67E6"/>
    <w:rsid w:val="25722260"/>
    <w:rsid w:val="257302A1"/>
    <w:rsid w:val="25733DFD"/>
    <w:rsid w:val="25752CBA"/>
    <w:rsid w:val="25755DC7"/>
    <w:rsid w:val="257751E6"/>
    <w:rsid w:val="257B7155"/>
    <w:rsid w:val="257C53A7"/>
    <w:rsid w:val="257E52BB"/>
    <w:rsid w:val="258506D6"/>
    <w:rsid w:val="258573E7"/>
    <w:rsid w:val="25875BC7"/>
    <w:rsid w:val="258C3110"/>
    <w:rsid w:val="258E50DA"/>
    <w:rsid w:val="25902E9C"/>
    <w:rsid w:val="259057E9"/>
    <w:rsid w:val="25916979"/>
    <w:rsid w:val="2593624D"/>
    <w:rsid w:val="25951FC5"/>
    <w:rsid w:val="2599073D"/>
    <w:rsid w:val="259B3353"/>
    <w:rsid w:val="259D70CC"/>
    <w:rsid w:val="259F1096"/>
    <w:rsid w:val="259F2E44"/>
    <w:rsid w:val="25A0096A"/>
    <w:rsid w:val="25A14E0E"/>
    <w:rsid w:val="25A1634B"/>
    <w:rsid w:val="25A1676E"/>
    <w:rsid w:val="25A4045A"/>
    <w:rsid w:val="25A42208"/>
    <w:rsid w:val="25A43B34"/>
    <w:rsid w:val="25A77F4A"/>
    <w:rsid w:val="25AC5561"/>
    <w:rsid w:val="25AC730F"/>
    <w:rsid w:val="25B0273C"/>
    <w:rsid w:val="25B06DFF"/>
    <w:rsid w:val="25B14925"/>
    <w:rsid w:val="25B6018D"/>
    <w:rsid w:val="25B61F3B"/>
    <w:rsid w:val="25B85CB3"/>
    <w:rsid w:val="25BC39F6"/>
    <w:rsid w:val="25BD151C"/>
    <w:rsid w:val="25C36B29"/>
    <w:rsid w:val="25C40AFC"/>
    <w:rsid w:val="25C44658"/>
    <w:rsid w:val="25C64C69"/>
    <w:rsid w:val="25C66622"/>
    <w:rsid w:val="25C7239A"/>
    <w:rsid w:val="25CB3C39"/>
    <w:rsid w:val="25CD79B1"/>
    <w:rsid w:val="25CE197B"/>
    <w:rsid w:val="25CE3729"/>
    <w:rsid w:val="25CF0929"/>
    <w:rsid w:val="25D24FC7"/>
    <w:rsid w:val="25D30D3F"/>
    <w:rsid w:val="25D32AED"/>
    <w:rsid w:val="25D45C3E"/>
    <w:rsid w:val="25D80104"/>
    <w:rsid w:val="25DA20CE"/>
    <w:rsid w:val="25DB02F1"/>
    <w:rsid w:val="25DC295F"/>
    <w:rsid w:val="25DD3DEF"/>
    <w:rsid w:val="25DD61F7"/>
    <w:rsid w:val="25E1520A"/>
    <w:rsid w:val="25E216F2"/>
    <w:rsid w:val="25E60A73"/>
    <w:rsid w:val="25E81861"/>
    <w:rsid w:val="25E92311"/>
    <w:rsid w:val="25EB6089"/>
    <w:rsid w:val="25EC2492"/>
    <w:rsid w:val="25ED0053"/>
    <w:rsid w:val="25F30BE6"/>
    <w:rsid w:val="25F74A2E"/>
    <w:rsid w:val="25F807A6"/>
    <w:rsid w:val="25FA451E"/>
    <w:rsid w:val="25FC2044"/>
    <w:rsid w:val="25FD157D"/>
    <w:rsid w:val="25FD7B6A"/>
    <w:rsid w:val="25FF38E2"/>
    <w:rsid w:val="26025181"/>
    <w:rsid w:val="26034EF6"/>
    <w:rsid w:val="26041B6B"/>
    <w:rsid w:val="2604539D"/>
    <w:rsid w:val="26072EA8"/>
    <w:rsid w:val="260B04D9"/>
    <w:rsid w:val="260B672B"/>
    <w:rsid w:val="260E6047"/>
    <w:rsid w:val="2610789E"/>
    <w:rsid w:val="26112CDF"/>
    <w:rsid w:val="26127ABA"/>
    <w:rsid w:val="26143832"/>
    <w:rsid w:val="26147F1F"/>
    <w:rsid w:val="26153106"/>
    <w:rsid w:val="26154EB4"/>
    <w:rsid w:val="261750D0"/>
    <w:rsid w:val="261B6962"/>
    <w:rsid w:val="261C4494"/>
    <w:rsid w:val="261C6242"/>
    <w:rsid w:val="261F3F85"/>
    <w:rsid w:val="261F5D33"/>
    <w:rsid w:val="26263565"/>
    <w:rsid w:val="2628108B"/>
    <w:rsid w:val="26282E39"/>
    <w:rsid w:val="262B0B7B"/>
    <w:rsid w:val="262B2BBC"/>
    <w:rsid w:val="262D044F"/>
    <w:rsid w:val="262D3A37"/>
    <w:rsid w:val="262E5F76"/>
    <w:rsid w:val="26323CB8"/>
    <w:rsid w:val="26357163"/>
    <w:rsid w:val="263C5C9B"/>
    <w:rsid w:val="263D5C2C"/>
    <w:rsid w:val="263E318C"/>
    <w:rsid w:val="26413EFB"/>
    <w:rsid w:val="26446A7D"/>
    <w:rsid w:val="26467763"/>
    <w:rsid w:val="26487037"/>
    <w:rsid w:val="264A4E98"/>
    <w:rsid w:val="264B6B28"/>
    <w:rsid w:val="264D0AF2"/>
    <w:rsid w:val="264F486A"/>
    <w:rsid w:val="26502390"/>
    <w:rsid w:val="26531402"/>
    <w:rsid w:val="26555BF8"/>
    <w:rsid w:val="26556842"/>
    <w:rsid w:val="26585138"/>
    <w:rsid w:val="265B4F57"/>
    <w:rsid w:val="265E4AAD"/>
    <w:rsid w:val="2661459D"/>
    <w:rsid w:val="26647BE9"/>
    <w:rsid w:val="26660497"/>
    <w:rsid w:val="26661BB3"/>
    <w:rsid w:val="266B71CA"/>
    <w:rsid w:val="266D620A"/>
    <w:rsid w:val="266D6A9E"/>
    <w:rsid w:val="26712A32"/>
    <w:rsid w:val="267442D0"/>
    <w:rsid w:val="26751DF6"/>
    <w:rsid w:val="267609FD"/>
    <w:rsid w:val="267B1D47"/>
    <w:rsid w:val="267C13D7"/>
    <w:rsid w:val="267E514F"/>
    <w:rsid w:val="2682292E"/>
    <w:rsid w:val="268362C1"/>
    <w:rsid w:val="2685028B"/>
    <w:rsid w:val="26867B60"/>
    <w:rsid w:val="268C786C"/>
    <w:rsid w:val="268F4C66"/>
    <w:rsid w:val="268F546E"/>
    <w:rsid w:val="26914E82"/>
    <w:rsid w:val="26926505"/>
    <w:rsid w:val="2694227D"/>
    <w:rsid w:val="269A360B"/>
    <w:rsid w:val="269B185D"/>
    <w:rsid w:val="269C7383"/>
    <w:rsid w:val="269E134D"/>
    <w:rsid w:val="26A050C5"/>
    <w:rsid w:val="26A1499A"/>
    <w:rsid w:val="26A30712"/>
    <w:rsid w:val="26A526DC"/>
    <w:rsid w:val="26A64C5A"/>
    <w:rsid w:val="26A76454"/>
    <w:rsid w:val="26A85D28"/>
    <w:rsid w:val="26AB5818"/>
    <w:rsid w:val="26AC0FE3"/>
    <w:rsid w:val="26AC220D"/>
    <w:rsid w:val="26AF355A"/>
    <w:rsid w:val="26AF716B"/>
    <w:rsid w:val="26B20144"/>
    <w:rsid w:val="26B22F74"/>
    <w:rsid w:val="26B24DF9"/>
    <w:rsid w:val="26B57F3A"/>
    <w:rsid w:val="26B648E9"/>
    <w:rsid w:val="26B741BD"/>
    <w:rsid w:val="26B97F35"/>
    <w:rsid w:val="26BB3CAD"/>
    <w:rsid w:val="26BD5C77"/>
    <w:rsid w:val="26C16DEA"/>
    <w:rsid w:val="26C30DB4"/>
    <w:rsid w:val="26C32B62"/>
    <w:rsid w:val="26C46D53"/>
    <w:rsid w:val="26C50688"/>
    <w:rsid w:val="26C568DA"/>
    <w:rsid w:val="26C64400"/>
    <w:rsid w:val="26C863CA"/>
    <w:rsid w:val="26CD1C32"/>
    <w:rsid w:val="26CD39E1"/>
    <w:rsid w:val="26CF7759"/>
    <w:rsid w:val="26D046A2"/>
    <w:rsid w:val="26D5345C"/>
    <w:rsid w:val="26D905D7"/>
    <w:rsid w:val="26D926BA"/>
    <w:rsid w:val="26D94133"/>
    <w:rsid w:val="26DB1CE0"/>
    <w:rsid w:val="26DB434F"/>
    <w:rsid w:val="26DB60FD"/>
    <w:rsid w:val="26E36D60"/>
    <w:rsid w:val="26E500B1"/>
    <w:rsid w:val="26E56F7C"/>
    <w:rsid w:val="26E825C8"/>
    <w:rsid w:val="26EB135F"/>
    <w:rsid w:val="26EC030B"/>
    <w:rsid w:val="26EC20B9"/>
    <w:rsid w:val="26F251F5"/>
    <w:rsid w:val="26F40F6D"/>
    <w:rsid w:val="26F64CE5"/>
    <w:rsid w:val="26F65116"/>
    <w:rsid w:val="26F7235B"/>
    <w:rsid w:val="26F96584"/>
    <w:rsid w:val="26FE3B9A"/>
    <w:rsid w:val="27054F28"/>
    <w:rsid w:val="27070CA1"/>
    <w:rsid w:val="27082C6B"/>
    <w:rsid w:val="270C275B"/>
    <w:rsid w:val="270F7B55"/>
    <w:rsid w:val="27126E5B"/>
    <w:rsid w:val="27133AE9"/>
    <w:rsid w:val="27135897"/>
    <w:rsid w:val="271433BD"/>
    <w:rsid w:val="27157A1E"/>
    <w:rsid w:val="271909D4"/>
    <w:rsid w:val="27223D2C"/>
    <w:rsid w:val="272C0707"/>
    <w:rsid w:val="272E0923"/>
    <w:rsid w:val="272F01F7"/>
    <w:rsid w:val="273121C1"/>
    <w:rsid w:val="27321A96"/>
    <w:rsid w:val="27343A60"/>
    <w:rsid w:val="27351CB2"/>
    <w:rsid w:val="27376FFD"/>
    <w:rsid w:val="273870AC"/>
    <w:rsid w:val="273F48DE"/>
    <w:rsid w:val="27437FDF"/>
    <w:rsid w:val="274517C9"/>
    <w:rsid w:val="27455C6D"/>
    <w:rsid w:val="274912B9"/>
    <w:rsid w:val="274B5777"/>
    <w:rsid w:val="274B6B2A"/>
    <w:rsid w:val="274E2D73"/>
    <w:rsid w:val="274E68CF"/>
    <w:rsid w:val="274F0899"/>
    <w:rsid w:val="274F43F6"/>
    <w:rsid w:val="275163C0"/>
    <w:rsid w:val="27541A0C"/>
    <w:rsid w:val="27545EB0"/>
    <w:rsid w:val="275B4E31"/>
    <w:rsid w:val="275B4E8B"/>
    <w:rsid w:val="275E288B"/>
    <w:rsid w:val="2760669F"/>
    <w:rsid w:val="27624129"/>
    <w:rsid w:val="276460F3"/>
    <w:rsid w:val="276C144B"/>
    <w:rsid w:val="276C4FA7"/>
    <w:rsid w:val="276E51C4"/>
    <w:rsid w:val="276E7580"/>
    <w:rsid w:val="27767BD4"/>
    <w:rsid w:val="2778394C"/>
    <w:rsid w:val="27802801"/>
    <w:rsid w:val="27822A1D"/>
    <w:rsid w:val="278422F1"/>
    <w:rsid w:val="27856069"/>
    <w:rsid w:val="27897907"/>
    <w:rsid w:val="278A3680"/>
    <w:rsid w:val="278C564A"/>
    <w:rsid w:val="278D3699"/>
    <w:rsid w:val="27930786"/>
    <w:rsid w:val="279B763B"/>
    <w:rsid w:val="279C4C1A"/>
    <w:rsid w:val="279E1806"/>
    <w:rsid w:val="279F27E3"/>
    <w:rsid w:val="279F712B"/>
    <w:rsid w:val="27A44741"/>
    <w:rsid w:val="27A91D58"/>
    <w:rsid w:val="27A961FC"/>
    <w:rsid w:val="27A97FAA"/>
    <w:rsid w:val="27AA7EDF"/>
    <w:rsid w:val="27AB1CB6"/>
    <w:rsid w:val="27AB45EB"/>
    <w:rsid w:val="27B01338"/>
    <w:rsid w:val="27B5694E"/>
    <w:rsid w:val="27B64475"/>
    <w:rsid w:val="27B70919"/>
    <w:rsid w:val="27B841B7"/>
    <w:rsid w:val="27B84691"/>
    <w:rsid w:val="27BA5D13"/>
    <w:rsid w:val="27BD3A55"/>
    <w:rsid w:val="27C02A4C"/>
    <w:rsid w:val="27C052F3"/>
    <w:rsid w:val="27C272BD"/>
    <w:rsid w:val="27C40F6B"/>
    <w:rsid w:val="27C43035"/>
    <w:rsid w:val="27CB12A0"/>
    <w:rsid w:val="27CB43C4"/>
    <w:rsid w:val="27D03788"/>
    <w:rsid w:val="27D137CA"/>
    <w:rsid w:val="27D17500"/>
    <w:rsid w:val="27D33279"/>
    <w:rsid w:val="27D42003"/>
    <w:rsid w:val="27D50D9F"/>
    <w:rsid w:val="27D668C5"/>
    <w:rsid w:val="27DA4607"/>
    <w:rsid w:val="27DA63B5"/>
    <w:rsid w:val="27DC212D"/>
    <w:rsid w:val="27DC6BED"/>
    <w:rsid w:val="27DF1C1D"/>
    <w:rsid w:val="27DF5779"/>
    <w:rsid w:val="27E56B08"/>
    <w:rsid w:val="27E94829"/>
    <w:rsid w:val="27E965F8"/>
    <w:rsid w:val="27ED433A"/>
    <w:rsid w:val="27EE5ACA"/>
    <w:rsid w:val="27F21951"/>
    <w:rsid w:val="27F356C9"/>
    <w:rsid w:val="27F86254"/>
    <w:rsid w:val="27FA6A57"/>
    <w:rsid w:val="27FC2C9F"/>
    <w:rsid w:val="2801666D"/>
    <w:rsid w:val="28017DE6"/>
    <w:rsid w:val="28024D6B"/>
    <w:rsid w:val="28031996"/>
    <w:rsid w:val="28043432"/>
    <w:rsid w:val="28060F58"/>
    <w:rsid w:val="280671AA"/>
    <w:rsid w:val="28073099"/>
    <w:rsid w:val="280B2A12"/>
    <w:rsid w:val="280B7BC3"/>
    <w:rsid w:val="280D678A"/>
    <w:rsid w:val="280E344A"/>
    <w:rsid w:val="28133675"/>
    <w:rsid w:val="281477E5"/>
    <w:rsid w:val="28164F13"/>
    <w:rsid w:val="28177609"/>
    <w:rsid w:val="28180C8B"/>
    <w:rsid w:val="2818512F"/>
    <w:rsid w:val="281C077C"/>
    <w:rsid w:val="281C69CE"/>
    <w:rsid w:val="281E11E4"/>
    <w:rsid w:val="28215D92"/>
    <w:rsid w:val="28226140"/>
    <w:rsid w:val="28270C1E"/>
    <w:rsid w:val="28291CBC"/>
    <w:rsid w:val="282E6701"/>
    <w:rsid w:val="28302479"/>
    <w:rsid w:val="28304227"/>
    <w:rsid w:val="28325F90"/>
    <w:rsid w:val="28335AC5"/>
    <w:rsid w:val="28346DCF"/>
    <w:rsid w:val="28373807"/>
    <w:rsid w:val="283C2BCC"/>
    <w:rsid w:val="283D06F2"/>
    <w:rsid w:val="28485A15"/>
    <w:rsid w:val="284877C3"/>
    <w:rsid w:val="284A7477"/>
    <w:rsid w:val="284B2E0F"/>
    <w:rsid w:val="284D6B87"/>
    <w:rsid w:val="28506677"/>
    <w:rsid w:val="28512960"/>
    <w:rsid w:val="28520641"/>
    <w:rsid w:val="28525EE3"/>
    <w:rsid w:val="28553C8E"/>
    <w:rsid w:val="285A74F6"/>
    <w:rsid w:val="28616AD6"/>
    <w:rsid w:val="28623776"/>
    <w:rsid w:val="28687E65"/>
    <w:rsid w:val="286914E7"/>
    <w:rsid w:val="286D0FD7"/>
    <w:rsid w:val="286E4D4F"/>
    <w:rsid w:val="28702875"/>
    <w:rsid w:val="28706183"/>
    <w:rsid w:val="28722A91"/>
    <w:rsid w:val="2874680A"/>
    <w:rsid w:val="287700A8"/>
    <w:rsid w:val="28793E20"/>
    <w:rsid w:val="28795503"/>
    <w:rsid w:val="287E1436"/>
    <w:rsid w:val="28814A83"/>
    <w:rsid w:val="288325A9"/>
    <w:rsid w:val="28836A4D"/>
    <w:rsid w:val="28890F6E"/>
    <w:rsid w:val="288A6488"/>
    <w:rsid w:val="288A7DDB"/>
    <w:rsid w:val="288B5901"/>
    <w:rsid w:val="28907C53"/>
    <w:rsid w:val="28942A08"/>
    <w:rsid w:val="2898365D"/>
    <w:rsid w:val="289B13C8"/>
    <w:rsid w:val="289B3D96"/>
    <w:rsid w:val="289B663B"/>
    <w:rsid w:val="289C114D"/>
    <w:rsid w:val="289C7BC0"/>
    <w:rsid w:val="289F7984"/>
    <w:rsid w:val="28A07ADA"/>
    <w:rsid w:val="28A15C44"/>
    <w:rsid w:val="28A60589"/>
    <w:rsid w:val="28A70580"/>
    <w:rsid w:val="28A80261"/>
    <w:rsid w:val="28AA222B"/>
    <w:rsid w:val="28AC6949"/>
    <w:rsid w:val="28AD3ACA"/>
    <w:rsid w:val="28AD46AB"/>
    <w:rsid w:val="28AF7842"/>
    <w:rsid w:val="28B05368"/>
    <w:rsid w:val="28B15184"/>
    <w:rsid w:val="28B22E8E"/>
    <w:rsid w:val="28B92147"/>
    <w:rsid w:val="28BA1D43"/>
    <w:rsid w:val="28BE5CD7"/>
    <w:rsid w:val="28C11323"/>
    <w:rsid w:val="28C13CBC"/>
    <w:rsid w:val="28C52BC1"/>
    <w:rsid w:val="28C72DDD"/>
    <w:rsid w:val="28C77B6A"/>
    <w:rsid w:val="28CA0D49"/>
    <w:rsid w:val="28CA62CE"/>
    <w:rsid w:val="28CD1A76"/>
    <w:rsid w:val="28CF1C92"/>
    <w:rsid w:val="28D0778C"/>
    <w:rsid w:val="28D15A0A"/>
    <w:rsid w:val="28D23530"/>
    <w:rsid w:val="28D42E04"/>
    <w:rsid w:val="28D728F5"/>
    <w:rsid w:val="28D92B11"/>
    <w:rsid w:val="28D9666D"/>
    <w:rsid w:val="28DA7AFA"/>
    <w:rsid w:val="28DB0637"/>
    <w:rsid w:val="28DE1ED5"/>
    <w:rsid w:val="28E318D4"/>
    <w:rsid w:val="28E62B38"/>
    <w:rsid w:val="28E72E42"/>
    <w:rsid w:val="28E76FDC"/>
    <w:rsid w:val="28EA6ACC"/>
    <w:rsid w:val="28EB4FF4"/>
    <w:rsid w:val="28ED036A"/>
    <w:rsid w:val="28ED3568"/>
    <w:rsid w:val="28F039B6"/>
    <w:rsid w:val="28F17E5A"/>
    <w:rsid w:val="28F33BD2"/>
    <w:rsid w:val="28F416F8"/>
    <w:rsid w:val="28F4731A"/>
    <w:rsid w:val="28F65471"/>
    <w:rsid w:val="28F90ABD"/>
    <w:rsid w:val="28F9286B"/>
    <w:rsid w:val="28FC05AD"/>
    <w:rsid w:val="28FD4730"/>
    <w:rsid w:val="28FE2577"/>
    <w:rsid w:val="2900009D"/>
    <w:rsid w:val="29030038"/>
    <w:rsid w:val="29051210"/>
    <w:rsid w:val="29053906"/>
    <w:rsid w:val="2907142C"/>
    <w:rsid w:val="290D6692"/>
    <w:rsid w:val="290F02E0"/>
    <w:rsid w:val="290F6532"/>
    <w:rsid w:val="2916341D"/>
    <w:rsid w:val="2919115F"/>
    <w:rsid w:val="29194CBB"/>
    <w:rsid w:val="291B298F"/>
    <w:rsid w:val="291B6C85"/>
    <w:rsid w:val="291D0C4F"/>
    <w:rsid w:val="29235B3A"/>
    <w:rsid w:val="29253660"/>
    <w:rsid w:val="29257B04"/>
    <w:rsid w:val="292A10BB"/>
    <w:rsid w:val="292A511A"/>
    <w:rsid w:val="292A6C56"/>
    <w:rsid w:val="292C2C40"/>
    <w:rsid w:val="292D0766"/>
    <w:rsid w:val="292F2731"/>
    <w:rsid w:val="29361D11"/>
    <w:rsid w:val="293624BD"/>
    <w:rsid w:val="29373393"/>
    <w:rsid w:val="2939710B"/>
    <w:rsid w:val="293B10D5"/>
    <w:rsid w:val="293D309F"/>
    <w:rsid w:val="293E0830"/>
    <w:rsid w:val="293E0BC6"/>
    <w:rsid w:val="293E4722"/>
    <w:rsid w:val="294C5091"/>
    <w:rsid w:val="294C5C9E"/>
    <w:rsid w:val="294D49C5"/>
    <w:rsid w:val="294F4B81"/>
    <w:rsid w:val="294F692F"/>
    <w:rsid w:val="29534671"/>
    <w:rsid w:val="295349C1"/>
    <w:rsid w:val="2953641F"/>
    <w:rsid w:val="29544E18"/>
    <w:rsid w:val="2959155B"/>
    <w:rsid w:val="295977AD"/>
    <w:rsid w:val="295A08AB"/>
    <w:rsid w:val="295B3285"/>
    <w:rsid w:val="295E3016"/>
    <w:rsid w:val="295E6B72"/>
    <w:rsid w:val="29600B3C"/>
    <w:rsid w:val="296231D6"/>
    <w:rsid w:val="296A1CA7"/>
    <w:rsid w:val="296D5007"/>
    <w:rsid w:val="296F0D7F"/>
    <w:rsid w:val="29712D49"/>
    <w:rsid w:val="29714AF7"/>
    <w:rsid w:val="29716592"/>
    <w:rsid w:val="2973028C"/>
    <w:rsid w:val="29736AC1"/>
    <w:rsid w:val="29746395"/>
    <w:rsid w:val="29780591"/>
    <w:rsid w:val="297B5976"/>
    <w:rsid w:val="297D10CF"/>
    <w:rsid w:val="297D349C"/>
    <w:rsid w:val="297E7214"/>
    <w:rsid w:val="297F5466"/>
    <w:rsid w:val="297F67AD"/>
    <w:rsid w:val="29802F8C"/>
    <w:rsid w:val="29820AB2"/>
    <w:rsid w:val="29844C90"/>
    <w:rsid w:val="2987256D"/>
    <w:rsid w:val="29883BEF"/>
    <w:rsid w:val="29910CF5"/>
    <w:rsid w:val="2996455E"/>
    <w:rsid w:val="29995581"/>
    <w:rsid w:val="29995DFC"/>
    <w:rsid w:val="299A404E"/>
    <w:rsid w:val="299D3B3E"/>
    <w:rsid w:val="299D769A"/>
    <w:rsid w:val="29A22F02"/>
    <w:rsid w:val="29A24CB1"/>
    <w:rsid w:val="29A50C45"/>
    <w:rsid w:val="29A547A1"/>
    <w:rsid w:val="29A63970"/>
    <w:rsid w:val="29A924E3"/>
    <w:rsid w:val="29AA1DB7"/>
    <w:rsid w:val="29AD1B69"/>
    <w:rsid w:val="29AE7AF9"/>
    <w:rsid w:val="29B175E9"/>
    <w:rsid w:val="29B33362"/>
    <w:rsid w:val="29B35110"/>
    <w:rsid w:val="29B449E4"/>
    <w:rsid w:val="29B616C2"/>
    <w:rsid w:val="29B64C00"/>
    <w:rsid w:val="29B82AFD"/>
    <w:rsid w:val="29BA0A21"/>
    <w:rsid w:val="29BA46F0"/>
    <w:rsid w:val="29BB2216"/>
    <w:rsid w:val="29BB2399"/>
    <w:rsid w:val="29BD1AEA"/>
    <w:rsid w:val="29BF3AB4"/>
    <w:rsid w:val="29C0782D"/>
    <w:rsid w:val="29C16373"/>
    <w:rsid w:val="29C235A5"/>
    <w:rsid w:val="29C54E43"/>
    <w:rsid w:val="29C76E0D"/>
    <w:rsid w:val="29C833FB"/>
    <w:rsid w:val="29C9048F"/>
    <w:rsid w:val="29CC1519"/>
    <w:rsid w:val="29CF181E"/>
    <w:rsid w:val="29D137E8"/>
    <w:rsid w:val="29D15596"/>
    <w:rsid w:val="29D30788"/>
    <w:rsid w:val="29D37560"/>
    <w:rsid w:val="29D62BAC"/>
    <w:rsid w:val="29DD03DE"/>
    <w:rsid w:val="29DF4157"/>
    <w:rsid w:val="29E057D9"/>
    <w:rsid w:val="29E21551"/>
    <w:rsid w:val="29E26DED"/>
    <w:rsid w:val="29E277A3"/>
    <w:rsid w:val="29E74DB9"/>
    <w:rsid w:val="29E80A5D"/>
    <w:rsid w:val="29E8151E"/>
    <w:rsid w:val="29E96D83"/>
    <w:rsid w:val="29F3375E"/>
    <w:rsid w:val="29F6324E"/>
    <w:rsid w:val="29F81013"/>
    <w:rsid w:val="29FA689B"/>
    <w:rsid w:val="29FE3744"/>
    <w:rsid w:val="29FF2103"/>
    <w:rsid w:val="2A0171CD"/>
    <w:rsid w:val="2A04596B"/>
    <w:rsid w:val="2A0524AE"/>
    <w:rsid w:val="2A067935"/>
    <w:rsid w:val="2A0B0AA8"/>
    <w:rsid w:val="2A0B4F4C"/>
    <w:rsid w:val="2A0C4820"/>
    <w:rsid w:val="2A0E0598"/>
    <w:rsid w:val="2A133E00"/>
    <w:rsid w:val="2A13795C"/>
    <w:rsid w:val="2A157B78"/>
    <w:rsid w:val="2A17569E"/>
    <w:rsid w:val="2A19597B"/>
    <w:rsid w:val="2A1A2F1D"/>
    <w:rsid w:val="2A202079"/>
    <w:rsid w:val="2A2116AE"/>
    <w:rsid w:val="2A23324E"/>
    <w:rsid w:val="2A246B9F"/>
    <w:rsid w:val="2A263B34"/>
    <w:rsid w:val="2A2869B0"/>
    <w:rsid w:val="2A297180"/>
    <w:rsid w:val="2A2E0C3A"/>
    <w:rsid w:val="2A2E4796"/>
    <w:rsid w:val="2A32072A"/>
    <w:rsid w:val="2A3224D8"/>
    <w:rsid w:val="2A336250"/>
    <w:rsid w:val="2A351FC9"/>
    <w:rsid w:val="2A377AEF"/>
    <w:rsid w:val="2A387A8D"/>
    <w:rsid w:val="2A3D0E7D"/>
    <w:rsid w:val="2A3E70CF"/>
    <w:rsid w:val="2A4346E5"/>
    <w:rsid w:val="2A443FBA"/>
    <w:rsid w:val="2A444A48"/>
    <w:rsid w:val="2A481CFC"/>
    <w:rsid w:val="2A484859"/>
    <w:rsid w:val="2A4915D0"/>
    <w:rsid w:val="2A4C2E6E"/>
    <w:rsid w:val="2A4E4E38"/>
    <w:rsid w:val="2A4F169D"/>
    <w:rsid w:val="2A50295E"/>
    <w:rsid w:val="2A5561C7"/>
    <w:rsid w:val="2A58434E"/>
    <w:rsid w:val="2A5C57A7"/>
    <w:rsid w:val="2A5C58A0"/>
    <w:rsid w:val="2A5C7555"/>
    <w:rsid w:val="2A5D507B"/>
    <w:rsid w:val="2A5E32CD"/>
    <w:rsid w:val="2A5F7045"/>
    <w:rsid w:val="2A630895"/>
    <w:rsid w:val="2A633760"/>
    <w:rsid w:val="2A636B36"/>
    <w:rsid w:val="2A6603D4"/>
    <w:rsid w:val="2A6B59EA"/>
    <w:rsid w:val="2A6B7798"/>
    <w:rsid w:val="2A6C2D68"/>
    <w:rsid w:val="2A6C52BE"/>
    <w:rsid w:val="2A6F0AFC"/>
    <w:rsid w:val="2A701253"/>
    <w:rsid w:val="2A704DAF"/>
    <w:rsid w:val="2A720B27"/>
    <w:rsid w:val="2A737CF3"/>
    <w:rsid w:val="2A7439F6"/>
    <w:rsid w:val="2A77613D"/>
    <w:rsid w:val="2A7C3754"/>
    <w:rsid w:val="2A7F0C3A"/>
    <w:rsid w:val="2A810D6A"/>
    <w:rsid w:val="2A866380"/>
    <w:rsid w:val="2A88034A"/>
    <w:rsid w:val="2A8A2314"/>
    <w:rsid w:val="2A8B1BE9"/>
    <w:rsid w:val="2A8B3997"/>
    <w:rsid w:val="2A8D3BB3"/>
    <w:rsid w:val="2A900FAD"/>
    <w:rsid w:val="2A9036A3"/>
    <w:rsid w:val="2A954815"/>
    <w:rsid w:val="2A9735CE"/>
    <w:rsid w:val="2A9767DF"/>
    <w:rsid w:val="2A9A1E2C"/>
    <w:rsid w:val="2A9C5BA4"/>
    <w:rsid w:val="2A9D36CA"/>
    <w:rsid w:val="2A9E36EC"/>
    <w:rsid w:val="2AA038D1"/>
    <w:rsid w:val="2AA607D0"/>
    <w:rsid w:val="2AAB67C7"/>
    <w:rsid w:val="2AB27175"/>
    <w:rsid w:val="2AB4113F"/>
    <w:rsid w:val="2AB54EB7"/>
    <w:rsid w:val="2AB949A8"/>
    <w:rsid w:val="2ABB0720"/>
    <w:rsid w:val="2ABB53C0"/>
    <w:rsid w:val="2AC31382"/>
    <w:rsid w:val="2AC5594D"/>
    <w:rsid w:val="2ACB6489"/>
    <w:rsid w:val="2ACE0C31"/>
    <w:rsid w:val="2ACF41CB"/>
    <w:rsid w:val="2ACF7D27"/>
    <w:rsid w:val="2AD01CF1"/>
    <w:rsid w:val="2AD27817"/>
    <w:rsid w:val="2AD4533E"/>
    <w:rsid w:val="2AD510B6"/>
    <w:rsid w:val="2AD92954"/>
    <w:rsid w:val="2ADA303C"/>
    <w:rsid w:val="2ADA66CC"/>
    <w:rsid w:val="2ADC41F2"/>
    <w:rsid w:val="2AE01F34"/>
    <w:rsid w:val="2AE04A18"/>
    <w:rsid w:val="2AE250AE"/>
    <w:rsid w:val="2AE61515"/>
    <w:rsid w:val="2AE632C3"/>
    <w:rsid w:val="2AE7621A"/>
    <w:rsid w:val="2AE8528D"/>
    <w:rsid w:val="2AEB08D9"/>
    <w:rsid w:val="2AEB2FF9"/>
    <w:rsid w:val="2AF27EBA"/>
    <w:rsid w:val="2AF37B03"/>
    <w:rsid w:val="2AF754D0"/>
    <w:rsid w:val="2AF75C96"/>
    <w:rsid w:val="2AF92FF6"/>
    <w:rsid w:val="2AFA79CC"/>
    <w:rsid w:val="2AFB200E"/>
    <w:rsid w:val="2AFB4FC0"/>
    <w:rsid w:val="2AFC4894"/>
    <w:rsid w:val="2AFC606F"/>
    <w:rsid w:val="2AFC6642"/>
    <w:rsid w:val="2AFD4EC5"/>
    <w:rsid w:val="2AFF1738"/>
    <w:rsid w:val="2B0011EB"/>
    <w:rsid w:val="2B0025D7"/>
    <w:rsid w:val="2B004385"/>
    <w:rsid w:val="2B040C3C"/>
    <w:rsid w:val="2B046437"/>
    <w:rsid w:val="2B05199B"/>
    <w:rsid w:val="2B057BED"/>
    <w:rsid w:val="2B084FE7"/>
    <w:rsid w:val="2B0A0D5F"/>
    <w:rsid w:val="2B0B72A3"/>
    <w:rsid w:val="2B0D0850"/>
    <w:rsid w:val="2B0D4CF3"/>
    <w:rsid w:val="2B0F45C8"/>
    <w:rsid w:val="2B112C12"/>
    <w:rsid w:val="2B141BDE"/>
    <w:rsid w:val="2B14398C"/>
    <w:rsid w:val="2B146082"/>
    <w:rsid w:val="2B163BA8"/>
    <w:rsid w:val="2B195446"/>
    <w:rsid w:val="2B1B420B"/>
    <w:rsid w:val="2B1F3431"/>
    <w:rsid w:val="2B1F5AA5"/>
    <w:rsid w:val="2B200583"/>
    <w:rsid w:val="2B2142FB"/>
    <w:rsid w:val="2B2160A9"/>
    <w:rsid w:val="2B227D8A"/>
    <w:rsid w:val="2B2303E8"/>
    <w:rsid w:val="2B231E21"/>
    <w:rsid w:val="2B2362C5"/>
    <w:rsid w:val="2B25203D"/>
    <w:rsid w:val="2B2C517A"/>
    <w:rsid w:val="2B2D58A0"/>
    <w:rsid w:val="2B2D7144"/>
    <w:rsid w:val="2B2F07C6"/>
    <w:rsid w:val="2B3109E2"/>
    <w:rsid w:val="2B312790"/>
    <w:rsid w:val="2B3224B5"/>
    <w:rsid w:val="2B326508"/>
    <w:rsid w:val="2B33475A"/>
    <w:rsid w:val="2B376F2C"/>
    <w:rsid w:val="2B400C25"/>
    <w:rsid w:val="2B41674B"/>
    <w:rsid w:val="2B417276"/>
    <w:rsid w:val="2B422282"/>
    <w:rsid w:val="2B434271"/>
    <w:rsid w:val="2B45623B"/>
    <w:rsid w:val="2B465B0F"/>
    <w:rsid w:val="2B485D2C"/>
    <w:rsid w:val="2B4C581C"/>
    <w:rsid w:val="2B512E32"/>
    <w:rsid w:val="2B524E00"/>
    <w:rsid w:val="2B563FA5"/>
    <w:rsid w:val="2B577D1D"/>
    <w:rsid w:val="2B5841C1"/>
    <w:rsid w:val="2B591CE7"/>
    <w:rsid w:val="2B5960B7"/>
    <w:rsid w:val="2B5A5895"/>
    <w:rsid w:val="2B5B780D"/>
    <w:rsid w:val="2B5D3585"/>
    <w:rsid w:val="2B5E72FD"/>
    <w:rsid w:val="2B6C5576"/>
    <w:rsid w:val="2B717030"/>
    <w:rsid w:val="2B726905"/>
    <w:rsid w:val="2B7663F5"/>
    <w:rsid w:val="2B7B3A0B"/>
    <w:rsid w:val="2B7C23F6"/>
    <w:rsid w:val="2B7E051D"/>
    <w:rsid w:val="2B7F799F"/>
    <w:rsid w:val="2B82123D"/>
    <w:rsid w:val="2B830B12"/>
    <w:rsid w:val="2B844FB6"/>
    <w:rsid w:val="2B85488A"/>
    <w:rsid w:val="2B870602"/>
    <w:rsid w:val="2B8E7BE2"/>
    <w:rsid w:val="2B8F74B6"/>
    <w:rsid w:val="2B936FA7"/>
    <w:rsid w:val="2B954A46"/>
    <w:rsid w:val="2B9845BD"/>
    <w:rsid w:val="2B9909EE"/>
    <w:rsid w:val="2B9D7E25"/>
    <w:rsid w:val="2BA07916"/>
    <w:rsid w:val="2BA967CA"/>
    <w:rsid w:val="2BAA42F0"/>
    <w:rsid w:val="2BAE2033"/>
    <w:rsid w:val="2BB673E4"/>
    <w:rsid w:val="2BB71E14"/>
    <w:rsid w:val="2BB7459C"/>
    <w:rsid w:val="2BB80F35"/>
    <w:rsid w:val="2BBA09D7"/>
    <w:rsid w:val="2BBE1B4A"/>
    <w:rsid w:val="2BC3447C"/>
    <w:rsid w:val="2BC41856"/>
    <w:rsid w:val="2BC76C50"/>
    <w:rsid w:val="2BCC070B"/>
    <w:rsid w:val="2BCE6231"/>
    <w:rsid w:val="2BD5034F"/>
    <w:rsid w:val="2BDB094E"/>
    <w:rsid w:val="2BDD6474"/>
    <w:rsid w:val="2BE07D12"/>
    <w:rsid w:val="2BE5357A"/>
    <w:rsid w:val="2BE617CC"/>
    <w:rsid w:val="2BEE242F"/>
    <w:rsid w:val="2BEE68D3"/>
    <w:rsid w:val="2BF043F9"/>
    <w:rsid w:val="2BF13CCD"/>
    <w:rsid w:val="2BF37A45"/>
    <w:rsid w:val="2BF437BD"/>
    <w:rsid w:val="2BF51A0F"/>
    <w:rsid w:val="2BF533E7"/>
    <w:rsid w:val="2BF832AE"/>
    <w:rsid w:val="2BF87197"/>
    <w:rsid w:val="2BFC0FF0"/>
    <w:rsid w:val="2BFD69FA"/>
    <w:rsid w:val="2BFF288E"/>
    <w:rsid w:val="2C0003B4"/>
    <w:rsid w:val="2C016606"/>
    <w:rsid w:val="2C02412C"/>
    <w:rsid w:val="2C043A01"/>
    <w:rsid w:val="2C071743"/>
    <w:rsid w:val="2C0734F1"/>
    <w:rsid w:val="2C077995"/>
    <w:rsid w:val="2C091017"/>
    <w:rsid w:val="2C097269"/>
    <w:rsid w:val="2C0A4D8F"/>
    <w:rsid w:val="2C0C0B07"/>
    <w:rsid w:val="2C0E487F"/>
    <w:rsid w:val="2C1005F7"/>
    <w:rsid w:val="2C163734"/>
    <w:rsid w:val="2C1752F1"/>
    <w:rsid w:val="2C1955A3"/>
    <w:rsid w:val="2C1A3224"/>
    <w:rsid w:val="2C1B6F9C"/>
    <w:rsid w:val="2C1C3440"/>
    <w:rsid w:val="2C1D0F66"/>
    <w:rsid w:val="2C210A56"/>
    <w:rsid w:val="2C22032B"/>
    <w:rsid w:val="2C26606D"/>
    <w:rsid w:val="2C293467"/>
    <w:rsid w:val="2C302A48"/>
    <w:rsid w:val="2C343229"/>
    <w:rsid w:val="2C35087A"/>
    <w:rsid w:val="2C351E0C"/>
    <w:rsid w:val="2C363DD6"/>
    <w:rsid w:val="2C365B84"/>
    <w:rsid w:val="2C387B4E"/>
    <w:rsid w:val="2C3971FB"/>
    <w:rsid w:val="2C3A5674"/>
    <w:rsid w:val="2C464019"/>
    <w:rsid w:val="2C491D5B"/>
    <w:rsid w:val="2C493B09"/>
    <w:rsid w:val="2C4958B7"/>
    <w:rsid w:val="2C4C53A8"/>
    <w:rsid w:val="2C526E62"/>
    <w:rsid w:val="2C574478"/>
    <w:rsid w:val="2C5901D2"/>
    <w:rsid w:val="2C5B55EB"/>
    <w:rsid w:val="2C5F332D"/>
    <w:rsid w:val="2C610E53"/>
    <w:rsid w:val="2C622E1D"/>
    <w:rsid w:val="2C673F8F"/>
    <w:rsid w:val="2C6855B9"/>
    <w:rsid w:val="2C695F59"/>
    <w:rsid w:val="2C697D08"/>
    <w:rsid w:val="2C6B7F24"/>
    <w:rsid w:val="2C701096"/>
    <w:rsid w:val="2C765025"/>
    <w:rsid w:val="2C771846"/>
    <w:rsid w:val="2C7C3EDF"/>
    <w:rsid w:val="2C7C5C8D"/>
    <w:rsid w:val="2C7D37B3"/>
    <w:rsid w:val="2C8139BA"/>
    <w:rsid w:val="2C844B41"/>
    <w:rsid w:val="2C852F06"/>
    <w:rsid w:val="2C8E59C0"/>
    <w:rsid w:val="2C8F1485"/>
    <w:rsid w:val="2C8F3C19"/>
    <w:rsid w:val="2C9034E6"/>
    <w:rsid w:val="2C981CCD"/>
    <w:rsid w:val="2C98683F"/>
    <w:rsid w:val="2C9A25B7"/>
    <w:rsid w:val="2C9B3A25"/>
    <w:rsid w:val="2C9C1E8B"/>
    <w:rsid w:val="2C9D5C03"/>
    <w:rsid w:val="2C9E3E55"/>
    <w:rsid w:val="2C9F197B"/>
    <w:rsid w:val="2C9F53AF"/>
    <w:rsid w:val="2CA451E4"/>
    <w:rsid w:val="2CA64AB8"/>
    <w:rsid w:val="2CA90A4C"/>
    <w:rsid w:val="2CAD1C1A"/>
    <w:rsid w:val="2CAD4098"/>
    <w:rsid w:val="2CAD5E46"/>
    <w:rsid w:val="2CB03B88"/>
    <w:rsid w:val="2CB27900"/>
    <w:rsid w:val="2CB35CAF"/>
    <w:rsid w:val="2CB76CC5"/>
    <w:rsid w:val="2CBA641B"/>
    <w:rsid w:val="2CBC252D"/>
    <w:rsid w:val="2CBC6272"/>
    <w:rsid w:val="2CBE44F7"/>
    <w:rsid w:val="2CBF5B79"/>
    <w:rsid w:val="2CC056E2"/>
    <w:rsid w:val="2CC118F2"/>
    <w:rsid w:val="2CC15D95"/>
    <w:rsid w:val="2CC3566A"/>
    <w:rsid w:val="2CC413E2"/>
    <w:rsid w:val="2CC55886"/>
    <w:rsid w:val="2CCB09C2"/>
    <w:rsid w:val="2CCB2770"/>
    <w:rsid w:val="2CCB451E"/>
    <w:rsid w:val="2CCE400E"/>
    <w:rsid w:val="2CCF04B2"/>
    <w:rsid w:val="2CD50BD0"/>
    <w:rsid w:val="2CDA29B3"/>
    <w:rsid w:val="2CE13D42"/>
    <w:rsid w:val="2CE51A84"/>
    <w:rsid w:val="2CE657FC"/>
    <w:rsid w:val="2CE850D0"/>
    <w:rsid w:val="2CEA709A"/>
    <w:rsid w:val="2CED26E7"/>
    <w:rsid w:val="2CEE29B3"/>
    <w:rsid w:val="2CF12C1C"/>
    <w:rsid w:val="2CF16A27"/>
    <w:rsid w:val="2CF33A75"/>
    <w:rsid w:val="2CF55A3F"/>
    <w:rsid w:val="2CFC5935"/>
    <w:rsid w:val="2CFC6AC5"/>
    <w:rsid w:val="2CFE2B46"/>
    <w:rsid w:val="2D0143E4"/>
    <w:rsid w:val="2D021B0B"/>
    <w:rsid w:val="2D040C32"/>
    <w:rsid w:val="2D06766D"/>
    <w:rsid w:val="2D0757A6"/>
    <w:rsid w:val="2D095047"/>
    <w:rsid w:val="2D0A773C"/>
    <w:rsid w:val="2D0B0DBF"/>
    <w:rsid w:val="2D0B5263"/>
    <w:rsid w:val="2D0C2C0A"/>
    <w:rsid w:val="2D142369"/>
    <w:rsid w:val="2D1660E1"/>
    <w:rsid w:val="2D177764"/>
    <w:rsid w:val="2D1C7470"/>
    <w:rsid w:val="2D1E6D44"/>
    <w:rsid w:val="2D1F486A"/>
    <w:rsid w:val="2D214A86"/>
    <w:rsid w:val="2D216834"/>
    <w:rsid w:val="2D2307FE"/>
    <w:rsid w:val="2D241E80"/>
    <w:rsid w:val="2D2500D2"/>
    <w:rsid w:val="2D2C76B3"/>
    <w:rsid w:val="2D2D0F0C"/>
    <w:rsid w:val="2D2D51D9"/>
    <w:rsid w:val="2D2F0F51"/>
    <w:rsid w:val="2D2F12F2"/>
    <w:rsid w:val="2D300825"/>
    <w:rsid w:val="2D314CC9"/>
    <w:rsid w:val="2D336E93"/>
    <w:rsid w:val="2D337277"/>
    <w:rsid w:val="2D340315"/>
    <w:rsid w:val="2D346BD8"/>
    <w:rsid w:val="2D35408E"/>
    <w:rsid w:val="2D3B5B48"/>
    <w:rsid w:val="2D3E1194"/>
    <w:rsid w:val="2D412A32"/>
    <w:rsid w:val="2D46629B"/>
    <w:rsid w:val="2D4D13D7"/>
    <w:rsid w:val="2D4F6EFD"/>
    <w:rsid w:val="2D4F702B"/>
    <w:rsid w:val="2D546C0A"/>
    <w:rsid w:val="2D55028C"/>
    <w:rsid w:val="2D553536"/>
    <w:rsid w:val="2D553E97"/>
    <w:rsid w:val="2D595FCE"/>
    <w:rsid w:val="2D5B3AF4"/>
    <w:rsid w:val="2D5C161A"/>
    <w:rsid w:val="2D5F0E0D"/>
    <w:rsid w:val="2D614E83"/>
    <w:rsid w:val="2D616C31"/>
    <w:rsid w:val="2D621F11"/>
    <w:rsid w:val="2D630BFB"/>
    <w:rsid w:val="2D654973"/>
    <w:rsid w:val="2D6D3827"/>
    <w:rsid w:val="2D6F57F1"/>
    <w:rsid w:val="2D73231B"/>
    <w:rsid w:val="2D746964"/>
    <w:rsid w:val="2D7626DC"/>
    <w:rsid w:val="2D765006"/>
    <w:rsid w:val="2D79041E"/>
    <w:rsid w:val="2D7A06DF"/>
    <w:rsid w:val="2D7B5F44"/>
    <w:rsid w:val="2D7D717C"/>
    <w:rsid w:val="2D7E2B7A"/>
    <w:rsid w:val="2D7E3CCA"/>
    <w:rsid w:val="2D880661"/>
    <w:rsid w:val="2D8868B3"/>
    <w:rsid w:val="2D8F23BE"/>
    <w:rsid w:val="2D8F379E"/>
    <w:rsid w:val="2D900DFC"/>
    <w:rsid w:val="2D917516"/>
    <w:rsid w:val="2D9214E0"/>
    <w:rsid w:val="2D947006"/>
    <w:rsid w:val="2D962D7E"/>
    <w:rsid w:val="2D9708A4"/>
    <w:rsid w:val="2D982E0B"/>
    <w:rsid w:val="2D990AC0"/>
    <w:rsid w:val="2D994C40"/>
    <w:rsid w:val="2D9D14F8"/>
    <w:rsid w:val="2D9D235F"/>
    <w:rsid w:val="2D9E60D7"/>
    <w:rsid w:val="2DA21723"/>
    <w:rsid w:val="2DA30834"/>
    <w:rsid w:val="2DA34EFD"/>
    <w:rsid w:val="2DA54413"/>
    <w:rsid w:val="2DA55D25"/>
    <w:rsid w:val="2DAC25A2"/>
    <w:rsid w:val="2DAF26D7"/>
    <w:rsid w:val="2DB42C49"/>
    <w:rsid w:val="2DB43204"/>
    <w:rsid w:val="2DB53B3B"/>
    <w:rsid w:val="2DB94CBF"/>
    <w:rsid w:val="2DBA2F11"/>
    <w:rsid w:val="2DBD655D"/>
    <w:rsid w:val="2DC21DC5"/>
    <w:rsid w:val="2DC25921"/>
    <w:rsid w:val="2DC31699"/>
    <w:rsid w:val="2DC72800"/>
    <w:rsid w:val="2DC86CB0"/>
    <w:rsid w:val="2DCB5CD4"/>
    <w:rsid w:val="2DCC44FF"/>
    <w:rsid w:val="2DCF6290"/>
    <w:rsid w:val="2DD536C3"/>
    <w:rsid w:val="2DD613CD"/>
    <w:rsid w:val="2DDE64D3"/>
    <w:rsid w:val="2DE03FF9"/>
    <w:rsid w:val="2DE133A7"/>
    <w:rsid w:val="2DE24215"/>
    <w:rsid w:val="2DE33AEA"/>
    <w:rsid w:val="2DE47F8D"/>
    <w:rsid w:val="2DE75AD8"/>
    <w:rsid w:val="2DE81B39"/>
    <w:rsid w:val="2DE955A4"/>
    <w:rsid w:val="2DEC0BF0"/>
    <w:rsid w:val="2DEC1B44"/>
    <w:rsid w:val="2DEC299E"/>
    <w:rsid w:val="2DEC6E42"/>
    <w:rsid w:val="2DED451B"/>
    <w:rsid w:val="2DEE12A5"/>
    <w:rsid w:val="2DEE4968"/>
    <w:rsid w:val="2DF236E3"/>
    <w:rsid w:val="2DF32B83"/>
    <w:rsid w:val="2DF36C4C"/>
    <w:rsid w:val="2DF46243"/>
    <w:rsid w:val="2DF53F49"/>
    <w:rsid w:val="2DFB0321"/>
    <w:rsid w:val="2DFD104F"/>
    <w:rsid w:val="2DFE0923"/>
    <w:rsid w:val="2E00493B"/>
    <w:rsid w:val="2E007DC0"/>
    <w:rsid w:val="2E045F3A"/>
    <w:rsid w:val="2E072654"/>
    <w:rsid w:val="2E0917A2"/>
    <w:rsid w:val="2E0A551A"/>
    <w:rsid w:val="2E0E0B66"/>
    <w:rsid w:val="2E114AFB"/>
    <w:rsid w:val="2E132621"/>
    <w:rsid w:val="2E183793"/>
    <w:rsid w:val="2E1A39AF"/>
    <w:rsid w:val="2E1B14D5"/>
    <w:rsid w:val="2E1B7727"/>
    <w:rsid w:val="2E1E3349"/>
    <w:rsid w:val="2E232138"/>
    <w:rsid w:val="2E24482E"/>
    <w:rsid w:val="2E2465DC"/>
    <w:rsid w:val="2E2C36E3"/>
    <w:rsid w:val="2E2E745B"/>
    <w:rsid w:val="2E344345"/>
    <w:rsid w:val="2E3D32FC"/>
    <w:rsid w:val="2E3F2682"/>
    <w:rsid w:val="2E3F6F72"/>
    <w:rsid w:val="2E456552"/>
    <w:rsid w:val="2E474078"/>
    <w:rsid w:val="2E496043"/>
    <w:rsid w:val="2E5127ED"/>
    <w:rsid w:val="2E532A1D"/>
    <w:rsid w:val="2E556795"/>
    <w:rsid w:val="2E56075F"/>
    <w:rsid w:val="2E586ACC"/>
    <w:rsid w:val="2E5A0E01"/>
    <w:rsid w:val="2E5A1FFE"/>
    <w:rsid w:val="2E5C3FC8"/>
    <w:rsid w:val="2E5D389C"/>
    <w:rsid w:val="2E5E1319"/>
    <w:rsid w:val="2E5F13C2"/>
    <w:rsid w:val="2E60513A"/>
    <w:rsid w:val="2E620B52"/>
    <w:rsid w:val="2E6533D9"/>
    <w:rsid w:val="2E6609A2"/>
    <w:rsid w:val="2E682FCF"/>
    <w:rsid w:val="2E6E3CFB"/>
    <w:rsid w:val="2E6F38EF"/>
    <w:rsid w:val="2E70591C"/>
    <w:rsid w:val="2E717347"/>
    <w:rsid w:val="2E73218C"/>
    <w:rsid w:val="2E734E6D"/>
    <w:rsid w:val="2E755089"/>
    <w:rsid w:val="2E76495E"/>
    <w:rsid w:val="2E786928"/>
    <w:rsid w:val="2E7A444E"/>
    <w:rsid w:val="2E7B3D22"/>
    <w:rsid w:val="2E826EF2"/>
    <w:rsid w:val="2E8B4C27"/>
    <w:rsid w:val="2E8C4181"/>
    <w:rsid w:val="2E8C5F2F"/>
    <w:rsid w:val="2E9077CD"/>
    <w:rsid w:val="2E9500C6"/>
    <w:rsid w:val="2E960B5C"/>
    <w:rsid w:val="2E9A689E"/>
    <w:rsid w:val="2E9D1EEA"/>
    <w:rsid w:val="2E9E361C"/>
    <w:rsid w:val="2E9F37A5"/>
    <w:rsid w:val="2EA15E7F"/>
    <w:rsid w:val="2EA43279"/>
    <w:rsid w:val="2EA66FF1"/>
    <w:rsid w:val="2EA86D20"/>
    <w:rsid w:val="2EA901B0"/>
    <w:rsid w:val="2EA9088F"/>
    <w:rsid w:val="2EAC037F"/>
    <w:rsid w:val="2EAE2349"/>
    <w:rsid w:val="2EB3170E"/>
    <w:rsid w:val="2EB711FE"/>
    <w:rsid w:val="2EBA6F40"/>
    <w:rsid w:val="2EBC4A66"/>
    <w:rsid w:val="2EBC61B0"/>
    <w:rsid w:val="2EC102CF"/>
    <w:rsid w:val="2EC24EAE"/>
    <w:rsid w:val="2EC8340B"/>
    <w:rsid w:val="2EC92CDF"/>
    <w:rsid w:val="2ECB2EFB"/>
    <w:rsid w:val="2ECD0A22"/>
    <w:rsid w:val="2ECD3937"/>
    <w:rsid w:val="2ED022C0"/>
    <w:rsid w:val="2ED2428A"/>
    <w:rsid w:val="2ED33B5E"/>
    <w:rsid w:val="2ED55B28"/>
    <w:rsid w:val="2ED9465A"/>
    <w:rsid w:val="2EDA3048"/>
    <w:rsid w:val="2EDE49DD"/>
    <w:rsid w:val="2EDF0755"/>
    <w:rsid w:val="2EE074A9"/>
    <w:rsid w:val="2EE55832"/>
    <w:rsid w:val="2EE67D35"/>
    <w:rsid w:val="2EE8585B"/>
    <w:rsid w:val="2EEC77D5"/>
    <w:rsid w:val="2EED69CE"/>
    <w:rsid w:val="2EEE0998"/>
    <w:rsid w:val="2EEF27BB"/>
    <w:rsid w:val="2EF20488"/>
    <w:rsid w:val="2EF35FAE"/>
    <w:rsid w:val="2EF57F78"/>
    <w:rsid w:val="2EF75693"/>
    <w:rsid w:val="2EF97A69"/>
    <w:rsid w:val="2EFA0D02"/>
    <w:rsid w:val="2EFA733D"/>
    <w:rsid w:val="2EFC4E63"/>
    <w:rsid w:val="2EFC51FA"/>
    <w:rsid w:val="2EFD49EF"/>
    <w:rsid w:val="2EFE0BDB"/>
    <w:rsid w:val="2F034443"/>
    <w:rsid w:val="2F041F69"/>
    <w:rsid w:val="2F087CAC"/>
    <w:rsid w:val="2F0F103A"/>
    <w:rsid w:val="2F0F18E4"/>
    <w:rsid w:val="2F146650"/>
    <w:rsid w:val="2F154177"/>
    <w:rsid w:val="2F155F25"/>
    <w:rsid w:val="2F160640"/>
    <w:rsid w:val="2F1A6BB0"/>
    <w:rsid w:val="2F1C5505"/>
    <w:rsid w:val="2F261EE0"/>
    <w:rsid w:val="2F263355"/>
    <w:rsid w:val="2F2919D0"/>
    <w:rsid w:val="2F2B74F6"/>
    <w:rsid w:val="2F2D14C0"/>
    <w:rsid w:val="2F300FB0"/>
    <w:rsid w:val="2F34132A"/>
    <w:rsid w:val="2F391C13"/>
    <w:rsid w:val="2F3A3BDD"/>
    <w:rsid w:val="2F3C5BA7"/>
    <w:rsid w:val="2F3E0BA4"/>
    <w:rsid w:val="2F3F11F4"/>
    <w:rsid w:val="2F432A92"/>
    <w:rsid w:val="2F436F36"/>
    <w:rsid w:val="2F47109C"/>
    <w:rsid w:val="2F4A3E20"/>
    <w:rsid w:val="2F4B2213"/>
    <w:rsid w:val="2F4F7689"/>
    <w:rsid w:val="2F503401"/>
    <w:rsid w:val="2F5051AF"/>
    <w:rsid w:val="2F520F27"/>
    <w:rsid w:val="2F522CD5"/>
    <w:rsid w:val="2F546A4D"/>
    <w:rsid w:val="2F566C69"/>
    <w:rsid w:val="2F5B427F"/>
    <w:rsid w:val="2F5B7597"/>
    <w:rsid w:val="2F5E167A"/>
    <w:rsid w:val="2F633134"/>
    <w:rsid w:val="2F652D29"/>
    <w:rsid w:val="2F6923E0"/>
    <w:rsid w:val="2F6F3DDB"/>
    <w:rsid w:val="2F745341"/>
    <w:rsid w:val="2F7467BD"/>
    <w:rsid w:val="2F7470EF"/>
    <w:rsid w:val="2F7516A9"/>
    <w:rsid w:val="2F757F47"/>
    <w:rsid w:val="2F762E67"/>
    <w:rsid w:val="2F7B66D0"/>
    <w:rsid w:val="2F823605"/>
    <w:rsid w:val="2F8512FC"/>
    <w:rsid w:val="2F8530AA"/>
    <w:rsid w:val="2F860BD0"/>
    <w:rsid w:val="2F866E22"/>
    <w:rsid w:val="2F875074"/>
    <w:rsid w:val="2F8801BF"/>
    <w:rsid w:val="2F8868AA"/>
    <w:rsid w:val="2F8A06C1"/>
    <w:rsid w:val="2F8A234D"/>
    <w:rsid w:val="2F8B4DEA"/>
    <w:rsid w:val="2F8B61E7"/>
    <w:rsid w:val="2F8D6403"/>
    <w:rsid w:val="2F8F3F5D"/>
    <w:rsid w:val="2F8F5CD7"/>
    <w:rsid w:val="2F906566"/>
    <w:rsid w:val="2F9075F6"/>
    <w:rsid w:val="2F923A19"/>
    <w:rsid w:val="2F9257C7"/>
    <w:rsid w:val="2F965A58"/>
    <w:rsid w:val="2F9A594D"/>
    <w:rsid w:val="2FA23C5C"/>
    <w:rsid w:val="2FA31782"/>
    <w:rsid w:val="2FA31D65"/>
    <w:rsid w:val="2FA554FB"/>
    <w:rsid w:val="2FAA0D63"/>
    <w:rsid w:val="2FB15C4D"/>
    <w:rsid w:val="2FB219C5"/>
    <w:rsid w:val="2FB35E69"/>
    <w:rsid w:val="2FB4573E"/>
    <w:rsid w:val="2FB7522E"/>
    <w:rsid w:val="2FB971F8"/>
    <w:rsid w:val="2FBB4D1E"/>
    <w:rsid w:val="2FBD4575"/>
    <w:rsid w:val="2FC02334"/>
    <w:rsid w:val="2FC71915"/>
    <w:rsid w:val="2FC83556"/>
    <w:rsid w:val="2FCA4F61"/>
    <w:rsid w:val="2FCB1ED7"/>
    <w:rsid w:val="2FCC6F2B"/>
    <w:rsid w:val="2FCD1F6D"/>
    <w:rsid w:val="2FCE2CA3"/>
    <w:rsid w:val="2FCF7117"/>
    <w:rsid w:val="2FD1009E"/>
    <w:rsid w:val="2FD44032"/>
    <w:rsid w:val="2FD61B58"/>
    <w:rsid w:val="2FD951A4"/>
    <w:rsid w:val="2FDC6A42"/>
    <w:rsid w:val="2FDD4C94"/>
    <w:rsid w:val="2FDE0A0C"/>
    <w:rsid w:val="2FE0009C"/>
    <w:rsid w:val="2FE57FED"/>
    <w:rsid w:val="2FE83639"/>
    <w:rsid w:val="2FEA115F"/>
    <w:rsid w:val="2FEA5603"/>
    <w:rsid w:val="2FEC0106"/>
    <w:rsid w:val="2FEC3129"/>
    <w:rsid w:val="2FEF49C8"/>
    <w:rsid w:val="2FF10740"/>
    <w:rsid w:val="2FF344B8"/>
    <w:rsid w:val="2FF3519E"/>
    <w:rsid w:val="2FF43D8C"/>
    <w:rsid w:val="2FF6627C"/>
    <w:rsid w:val="2FF815B6"/>
    <w:rsid w:val="2FF975F4"/>
    <w:rsid w:val="2FFD70E5"/>
    <w:rsid w:val="2FFE2E5D"/>
    <w:rsid w:val="300466C5"/>
    <w:rsid w:val="30061DB6"/>
    <w:rsid w:val="30071D11"/>
    <w:rsid w:val="30077F63"/>
    <w:rsid w:val="300A7A53"/>
    <w:rsid w:val="300B64C7"/>
    <w:rsid w:val="300C37CC"/>
    <w:rsid w:val="300E12F2"/>
    <w:rsid w:val="300F506A"/>
    <w:rsid w:val="30110DE2"/>
    <w:rsid w:val="3011493E"/>
    <w:rsid w:val="30136908"/>
    <w:rsid w:val="30137621"/>
    <w:rsid w:val="30143B9D"/>
    <w:rsid w:val="3014442E"/>
    <w:rsid w:val="301618AB"/>
    <w:rsid w:val="301663F8"/>
    <w:rsid w:val="30172B13"/>
    <w:rsid w:val="301A5EE8"/>
    <w:rsid w:val="301B57BD"/>
    <w:rsid w:val="301D7787"/>
    <w:rsid w:val="301E705B"/>
    <w:rsid w:val="301F52AD"/>
    <w:rsid w:val="30201025"/>
    <w:rsid w:val="30204B81"/>
    <w:rsid w:val="302428C3"/>
    <w:rsid w:val="302717F8"/>
    <w:rsid w:val="302C5C1C"/>
    <w:rsid w:val="302C79CA"/>
    <w:rsid w:val="302F3016"/>
    <w:rsid w:val="30303517"/>
    <w:rsid w:val="303074BA"/>
    <w:rsid w:val="30307BF4"/>
    <w:rsid w:val="30386386"/>
    <w:rsid w:val="303B5E5F"/>
    <w:rsid w:val="303C36D4"/>
    <w:rsid w:val="303D5733"/>
    <w:rsid w:val="303E078B"/>
    <w:rsid w:val="303F3688"/>
    <w:rsid w:val="30470360"/>
    <w:rsid w:val="30475964"/>
    <w:rsid w:val="30517430"/>
    <w:rsid w:val="30534F57"/>
    <w:rsid w:val="3058256D"/>
    <w:rsid w:val="305F7D9F"/>
    <w:rsid w:val="30662EDC"/>
    <w:rsid w:val="306727B0"/>
    <w:rsid w:val="30684D7B"/>
    <w:rsid w:val="30685587"/>
    <w:rsid w:val="306B40D4"/>
    <w:rsid w:val="306B5E26"/>
    <w:rsid w:val="306C7DC6"/>
    <w:rsid w:val="306E1D90"/>
    <w:rsid w:val="30705B08"/>
    <w:rsid w:val="30711881"/>
    <w:rsid w:val="30712820"/>
    <w:rsid w:val="3071362F"/>
    <w:rsid w:val="30731155"/>
    <w:rsid w:val="30744ECD"/>
    <w:rsid w:val="307709BB"/>
    <w:rsid w:val="307750E9"/>
    <w:rsid w:val="30784B00"/>
    <w:rsid w:val="307B4A76"/>
    <w:rsid w:val="307D1FD3"/>
    <w:rsid w:val="307F7AFA"/>
    <w:rsid w:val="30803872"/>
    <w:rsid w:val="30806CE9"/>
    <w:rsid w:val="308415B4"/>
    <w:rsid w:val="30841DBC"/>
    <w:rsid w:val="308679DC"/>
    <w:rsid w:val="308710A4"/>
    <w:rsid w:val="308E13FA"/>
    <w:rsid w:val="30915A7F"/>
    <w:rsid w:val="309335A5"/>
    <w:rsid w:val="3095731D"/>
    <w:rsid w:val="30986E0D"/>
    <w:rsid w:val="309C68FD"/>
    <w:rsid w:val="309D61D2"/>
    <w:rsid w:val="30A062B6"/>
    <w:rsid w:val="30A457B2"/>
    <w:rsid w:val="30A532D8"/>
    <w:rsid w:val="30A57500"/>
    <w:rsid w:val="30AA08EF"/>
    <w:rsid w:val="30AC4667"/>
    <w:rsid w:val="30AE4883"/>
    <w:rsid w:val="30B005FB"/>
    <w:rsid w:val="30B04157"/>
    <w:rsid w:val="30B359F5"/>
    <w:rsid w:val="30B5176D"/>
    <w:rsid w:val="30B67185"/>
    <w:rsid w:val="30B71989"/>
    <w:rsid w:val="30B8125D"/>
    <w:rsid w:val="30BA4FD6"/>
    <w:rsid w:val="30BC2282"/>
    <w:rsid w:val="30C15534"/>
    <w:rsid w:val="30C23E8A"/>
    <w:rsid w:val="30C61BCC"/>
    <w:rsid w:val="30C6397A"/>
    <w:rsid w:val="30C75D7D"/>
    <w:rsid w:val="30CC4D09"/>
    <w:rsid w:val="30CE6CD3"/>
    <w:rsid w:val="30D1189C"/>
    <w:rsid w:val="30D37E45"/>
    <w:rsid w:val="30D50061"/>
    <w:rsid w:val="30D53BBD"/>
    <w:rsid w:val="30D61664"/>
    <w:rsid w:val="30D8545C"/>
    <w:rsid w:val="30DA7426"/>
    <w:rsid w:val="30DB6CFA"/>
    <w:rsid w:val="30DC319E"/>
    <w:rsid w:val="30DD6F16"/>
    <w:rsid w:val="30DE478F"/>
    <w:rsid w:val="30DE4D6B"/>
    <w:rsid w:val="30E16A06"/>
    <w:rsid w:val="30E24B10"/>
    <w:rsid w:val="30E5371C"/>
    <w:rsid w:val="30E6401D"/>
    <w:rsid w:val="30E97669"/>
    <w:rsid w:val="30EB1633"/>
    <w:rsid w:val="30EB518F"/>
    <w:rsid w:val="30EE0BEB"/>
    <w:rsid w:val="30FA1876"/>
    <w:rsid w:val="30FA5E8E"/>
    <w:rsid w:val="30FA7AC8"/>
    <w:rsid w:val="30FF0C3A"/>
    <w:rsid w:val="310149B3"/>
    <w:rsid w:val="3102072B"/>
    <w:rsid w:val="31061FC9"/>
    <w:rsid w:val="311566B0"/>
    <w:rsid w:val="31172428"/>
    <w:rsid w:val="31175F84"/>
    <w:rsid w:val="31181CFC"/>
    <w:rsid w:val="311961A0"/>
    <w:rsid w:val="311A3CC6"/>
    <w:rsid w:val="311A5A74"/>
    <w:rsid w:val="311B14D9"/>
    <w:rsid w:val="311C359A"/>
    <w:rsid w:val="311E4999"/>
    <w:rsid w:val="311F308B"/>
    <w:rsid w:val="311F5819"/>
    <w:rsid w:val="312132A7"/>
    <w:rsid w:val="31215055"/>
    <w:rsid w:val="31230DCD"/>
    <w:rsid w:val="31244B45"/>
    <w:rsid w:val="312573D2"/>
    <w:rsid w:val="31264419"/>
    <w:rsid w:val="312D6566"/>
    <w:rsid w:val="31300A9C"/>
    <w:rsid w:val="31307046"/>
    <w:rsid w:val="313279B0"/>
    <w:rsid w:val="31352B82"/>
    <w:rsid w:val="31374878"/>
    <w:rsid w:val="31376626"/>
    <w:rsid w:val="313A7EC4"/>
    <w:rsid w:val="313B4368"/>
    <w:rsid w:val="313C3C3D"/>
    <w:rsid w:val="313C59EB"/>
    <w:rsid w:val="313F54DB"/>
    <w:rsid w:val="31411253"/>
    <w:rsid w:val="31413001"/>
    <w:rsid w:val="3143321D"/>
    <w:rsid w:val="314B4B4B"/>
    <w:rsid w:val="314E2C27"/>
    <w:rsid w:val="315076E8"/>
    <w:rsid w:val="31524FBC"/>
    <w:rsid w:val="31532D34"/>
    <w:rsid w:val="31540F86"/>
    <w:rsid w:val="31556AAC"/>
    <w:rsid w:val="31570A76"/>
    <w:rsid w:val="315C42DF"/>
    <w:rsid w:val="315E1E05"/>
    <w:rsid w:val="31605B7D"/>
    <w:rsid w:val="3163741B"/>
    <w:rsid w:val="31644F41"/>
    <w:rsid w:val="31660CB9"/>
    <w:rsid w:val="31666F0B"/>
    <w:rsid w:val="3172765E"/>
    <w:rsid w:val="317433D6"/>
    <w:rsid w:val="317452BC"/>
    <w:rsid w:val="3175603E"/>
    <w:rsid w:val="31772EC7"/>
    <w:rsid w:val="31785EB2"/>
    <w:rsid w:val="31794E91"/>
    <w:rsid w:val="31797FF5"/>
    <w:rsid w:val="317A6513"/>
    <w:rsid w:val="317F3D7D"/>
    <w:rsid w:val="31813D45"/>
    <w:rsid w:val="31815AF3"/>
    <w:rsid w:val="31826B22"/>
    <w:rsid w:val="31831500"/>
    <w:rsid w:val="3186135C"/>
    <w:rsid w:val="31872DB7"/>
    <w:rsid w:val="318A0E4C"/>
    <w:rsid w:val="318A49A8"/>
    <w:rsid w:val="318B24CE"/>
    <w:rsid w:val="318D26EA"/>
    <w:rsid w:val="318D6246"/>
    <w:rsid w:val="318F0210"/>
    <w:rsid w:val="31943A79"/>
    <w:rsid w:val="31960D20"/>
    <w:rsid w:val="31994BEB"/>
    <w:rsid w:val="319A0963"/>
    <w:rsid w:val="319E0453"/>
    <w:rsid w:val="31A16195"/>
    <w:rsid w:val="31A435DE"/>
    <w:rsid w:val="31A517E2"/>
    <w:rsid w:val="31AA6DF8"/>
    <w:rsid w:val="31AD4B3A"/>
    <w:rsid w:val="31B71515"/>
    <w:rsid w:val="31B859B9"/>
    <w:rsid w:val="31B90F57"/>
    <w:rsid w:val="31B9528D"/>
    <w:rsid w:val="31BC4D7D"/>
    <w:rsid w:val="31BC6B2B"/>
    <w:rsid w:val="31C0661C"/>
    <w:rsid w:val="31C559E0"/>
    <w:rsid w:val="31C82E1B"/>
    <w:rsid w:val="31CD0C24"/>
    <w:rsid w:val="31D04385"/>
    <w:rsid w:val="31D2634F"/>
    <w:rsid w:val="31D41389"/>
    <w:rsid w:val="31D420C7"/>
    <w:rsid w:val="31D75713"/>
    <w:rsid w:val="31DD5420"/>
    <w:rsid w:val="31DD71CE"/>
    <w:rsid w:val="31E0281A"/>
    <w:rsid w:val="31E31D8F"/>
    <w:rsid w:val="31E542D4"/>
    <w:rsid w:val="31E71DFA"/>
    <w:rsid w:val="31EB446C"/>
    <w:rsid w:val="31EC4947"/>
    <w:rsid w:val="31EF1103"/>
    <w:rsid w:val="31F0559B"/>
    <w:rsid w:val="31F13EB7"/>
    <w:rsid w:val="31F14A27"/>
    <w:rsid w:val="31F2254D"/>
    <w:rsid w:val="31F41E38"/>
    <w:rsid w:val="31F44517"/>
    <w:rsid w:val="31F97D80"/>
    <w:rsid w:val="31FB4569"/>
    <w:rsid w:val="31FE5396"/>
    <w:rsid w:val="31FF60CF"/>
    <w:rsid w:val="31FF6C4B"/>
    <w:rsid w:val="3200110E"/>
    <w:rsid w:val="320209E2"/>
    <w:rsid w:val="32056724"/>
    <w:rsid w:val="32081D71"/>
    <w:rsid w:val="320A7897"/>
    <w:rsid w:val="320C360F"/>
    <w:rsid w:val="320D7387"/>
    <w:rsid w:val="320F30FF"/>
    <w:rsid w:val="3212787A"/>
    <w:rsid w:val="32140B81"/>
    <w:rsid w:val="32157CE1"/>
    <w:rsid w:val="32195D2C"/>
    <w:rsid w:val="321D581C"/>
    <w:rsid w:val="3220530C"/>
    <w:rsid w:val="32222E32"/>
    <w:rsid w:val="322272D6"/>
    <w:rsid w:val="32236BAB"/>
    <w:rsid w:val="32250B75"/>
    <w:rsid w:val="32270449"/>
    <w:rsid w:val="32290665"/>
    <w:rsid w:val="322963D4"/>
    <w:rsid w:val="322F554F"/>
    <w:rsid w:val="32313075"/>
    <w:rsid w:val="32333292"/>
    <w:rsid w:val="323A4620"/>
    <w:rsid w:val="323B0398"/>
    <w:rsid w:val="323D5EBE"/>
    <w:rsid w:val="323E39E4"/>
    <w:rsid w:val="323E5792"/>
    <w:rsid w:val="323F1C36"/>
    <w:rsid w:val="32452FC5"/>
    <w:rsid w:val="32490EF5"/>
    <w:rsid w:val="324A2389"/>
    <w:rsid w:val="324A4137"/>
    <w:rsid w:val="324C6592"/>
    <w:rsid w:val="324E1E79"/>
    <w:rsid w:val="324E528F"/>
    <w:rsid w:val="3251196A"/>
    <w:rsid w:val="32513718"/>
    <w:rsid w:val="3253123E"/>
    <w:rsid w:val="32562ADC"/>
    <w:rsid w:val="325846EB"/>
    <w:rsid w:val="32586854"/>
    <w:rsid w:val="325C64B0"/>
    <w:rsid w:val="32642296"/>
    <w:rsid w:val="3264344B"/>
    <w:rsid w:val="32650F71"/>
    <w:rsid w:val="326571C3"/>
    <w:rsid w:val="32672F3B"/>
    <w:rsid w:val="32690A61"/>
    <w:rsid w:val="326A2A2B"/>
    <w:rsid w:val="326A412A"/>
    <w:rsid w:val="326B085A"/>
    <w:rsid w:val="326B2519"/>
    <w:rsid w:val="326C2300"/>
    <w:rsid w:val="32713DBA"/>
    <w:rsid w:val="3273739A"/>
    <w:rsid w:val="3276317E"/>
    <w:rsid w:val="32785148"/>
    <w:rsid w:val="32786EF6"/>
    <w:rsid w:val="327A59FF"/>
    <w:rsid w:val="327B0795"/>
    <w:rsid w:val="327E2C3F"/>
    <w:rsid w:val="328238D1"/>
    <w:rsid w:val="32843AED"/>
    <w:rsid w:val="32854801"/>
    <w:rsid w:val="32856933"/>
    <w:rsid w:val="32867865"/>
    <w:rsid w:val="32891103"/>
    <w:rsid w:val="32894C60"/>
    <w:rsid w:val="328A3015"/>
    <w:rsid w:val="328C29A2"/>
    <w:rsid w:val="328E671A"/>
    <w:rsid w:val="328F5FEE"/>
    <w:rsid w:val="32902492"/>
    <w:rsid w:val="32951856"/>
    <w:rsid w:val="32997764"/>
    <w:rsid w:val="329B0E37"/>
    <w:rsid w:val="32A01606"/>
    <w:rsid w:val="32A221C5"/>
    <w:rsid w:val="32A30F7A"/>
    <w:rsid w:val="32A4096B"/>
    <w:rsid w:val="32A55811"/>
    <w:rsid w:val="32A561B1"/>
    <w:rsid w:val="32A7158A"/>
    <w:rsid w:val="32A80A7D"/>
    <w:rsid w:val="32AC094E"/>
    <w:rsid w:val="32AE0B6A"/>
    <w:rsid w:val="32B1065A"/>
    <w:rsid w:val="32B51EF8"/>
    <w:rsid w:val="32B900B2"/>
    <w:rsid w:val="32BF0681"/>
    <w:rsid w:val="32C043F9"/>
    <w:rsid w:val="32C24615"/>
    <w:rsid w:val="32C4213C"/>
    <w:rsid w:val="32C44B49"/>
    <w:rsid w:val="32C65EB4"/>
    <w:rsid w:val="32C94A9C"/>
    <w:rsid w:val="32CB34CA"/>
    <w:rsid w:val="32CE4D68"/>
    <w:rsid w:val="32D040EC"/>
    <w:rsid w:val="32D0590C"/>
    <w:rsid w:val="32D103B5"/>
    <w:rsid w:val="32D16607"/>
    <w:rsid w:val="32D54349"/>
    <w:rsid w:val="32D57EA5"/>
    <w:rsid w:val="32D93D68"/>
    <w:rsid w:val="32DC56D7"/>
    <w:rsid w:val="32DD0992"/>
    <w:rsid w:val="32DD4FAB"/>
    <w:rsid w:val="32DF1FDC"/>
    <w:rsid w:val="32E0684A"/>
    <w:rsid w:val="32E120A3"/>
    <w:rsid w:val="32E12CEE"/>
    <w:rsid w:val="32E20814"/>
    <w:rsid w:val="32E75E2A"/>
    <w:rsid w:val="32E9371E"/>
    <w:rsid w:val="32E93950"/>
    <w:rsid w:val="32E97DF4"/>
    <w:rsid w:val="32EB2FB9"/>
    <w:rsid w:val="32EB34DA"/>
    <w:rsid w:val="32F04CDF"/>
    <w:rsid w:val="32F10A57"/>
    <w:rsid w:val="32F2545B"/>
    <w:rsid w:val="32F3657D"/>
    <w:rsid w:val="32F742BF"/>
    <w:rsid w:val="32F81DE5"/>
    <w:rsid w:val="32F83B93"/>
    <w:rsid w:val="32F90896"/>
    <w:rsid w:val="32FD651D"/>
    <w:rsid w:val="32FF13C6"/>
    <w:rsid w:val="32FF3174"/>
    <w:rsid w:val="32FF51B7"/>
    <w:rsid w:val="33024F89"/>
    <w:rsid w:val="3304078A"/>
    <w:rsid w:val="33051C5F"/>
    <w:rsid w:val="3307027A"/>
    <w:rsid w:val="33092677"/>
    <w:rsid w:val="33092D4F"/>
    <w:rsid w:val="330E1609"/>
    <w:rsid w:val="33122EA7"/>
    <w:rsid w:val="33150BE9"/>
    <w:rsid w:val="33155EF5"/>
    <w:rsid w:val="331839CA"/>
    <w:rsid w:val="331A61FF"/>
    <w:rsid w:val="33226E62"/>
    <w:rsid w:val="33264BA4"/>
    <w:rsid w:val="3328091C"/>
    <w:rsid w:val="332B5D17"/>
    <w:rsid w:val="332D454F"/>
    <w:rsid w:val="3330332D"/>
    <w:rsid w:val="333252F7"/>
    <w:rsid w:val="3333106F"/>
    <w:rsid w:val="33352DD5"/>
    <w:rsid w:val="33353039"/>
    <w:rsid w:val="33354DE7"/>
    <w:rsid w:val="33356B95"/>
    <w:rsid w:val="333D5A4A"/>
    <w:rsid w:val="33411378"/>
    <w:rsid w:val="3341378C"/>
    <w:rsid w:val="334212B2"/>
    <w:rsid w:val="33426DD3"/>
    <w:rsid w:val="33462B51"/>
    <w:rsid w:val="33490893"/>
    <w:rsid w:val="334E1463"/>
    <w:rsid w:val="334E7C57"/>
    <w:rsid w:val="33521F42"/>
    <w:rsid w:val="335229B5"/>
    <w:rsid w:val="3353526D"/>
    <w:rsid w:val="33557238"/>
    <w:rsid w:val="33576B0C"/>
    <w:rsid w:val="335C4122"/>
    <w:rsid w:val="33633703"/>
    <w:rsid w:val="33641229"/>
    <w:rsid w:val="3364747B"/>
    <w:rsid w:val="33666BE1"/>
    <w:rsid w:val="336C3012"/>
    <w:rsid w:val="336E20A7"/>
    <w:rsid w:val="33704071"/>
    <w:rsid w:val="337201A6"/>
    <w:rsid w:val="33721B98"/>
    <w:rsid w:val="33744FB8"/>
    <w:rsid w:val="33753436"/>
    <w:rsid w:val="33784018"/>
    <w:rsid w:val="337C585D"/>
    <w:rsid w:val="337E22EA"/>
    <w:rsid w:val="33871AEE"/>
    <w:rsid w:val="33890C8F"/>
    <w:rsid w:val="338C31D7"/>
    <w:rsid w:val="338D69D1"/>
    <w:rsid w:val="338F44F8"/>
    <w:rsid w:val="339165C1"/>
    <w:rsid w:val="33947D60"/>
    <w:rsid w:val="33953AD8"/>
    <w:rsid w:val="339B648A"/>
    <w:rsid w:val="339C4E66"/>
    <w:rsid w:val="339E0BDF"/>
    <w:rsid w:val="339E298D"/>
    <w:rsid w:val="339F04B3"/>
    <w:rsid w:val="33A06705"/>
    <w:rsid w:val="33A53D1B"/>
    <w:rsid w:val="33A61ECE"/>
    <w:rsid w:val="33A70526"/>
    <w:rsid w:val="33A8380B"/>
    <w:rsid w:val="33A930DF"/>
    <w:rsid w:val="33A954EF"/>
    <w:rsid w:val="33AB50A9"/>
    <w:rsid w:val="33AD7074"/>
    <w:rsid w:val="33B65F28"/>
    <w:rsid w:val="33BA709B"/>
    <w:rsid w:val="33BC72B7"/>
    <w:rsid w:val="33BE6B8B"/>
    <w:rsid w:val="33C2686F"/>
    <w:rsid w:val="33C30645"/>
    <w:rsid w:val="33C365BE"/>
    <w:rsid w:val="33C46C09"/>
    <w:rsid w:val="33C85644"/>
    <w:rsid w:val="33CA19D4"/>
    <w:rsid w:val="33CA3782"/>
    <w:rsid w:val="33CC24F2"/>
    <w:rsid w:val="33CD3146"/>
    <w:rsid w:val="33D0157A"/>
    <w:rsid w:val="33D04B10"/>
    <w:rsid w:val="33D12D62"/>
    <w:rsid w:val="33D30C40"/>
    <w:rsid w:val="33D53E1E"/>
    <w:rsid w:val="33D656EA"/>
    <w:rsid w:val="33D75E9F"/>
    <w:rsid w:val="33D939C5"/>
    <w:rsid w:val="33DB598F"/>
    <w:rsid w:val="33DD1D36"/>
    <w:rsid w:val="33DE547F"/>
    <w:rsid w:val="33DF6B01"/>
    <w:rsid w:val="33E800AC"/>
    <w:rsid w:val="33E83C08"/>
    <w:rsid w:val="33EC194A"/>
    <w:rsid w:val="33EF143A"/>
    <w:rsid w:val="33EF4F96"/>
    <w:rsid w:val="33F00585"/>
    <w:rsid w:val="33F2401D"/>
    <w:rsid w:val="33F46A50"/>
    <w:rsid w:val="33F627C9"/>
    <w:rsid w:val="33F702EF"/>
    <w:rsid w:val="34034EE6"/>
    <w:rsid w:val="340547BA"/>
    <w:rsid w:val="340824FC"/>
    <w:rsid w:val="34086058"/>
    <w:rsid w:val="340901AF"/>
    <w:rsid w:val="340D366E"/>
    <w:rsid w:val="34155E66"/>
    <w:rsid w:val="341744ED"/>
    <w:rsid w:val="34177D24"/>
    <w:rsid w:val="34190265"/>
    <w:rsid w:val="34192013"/>
    <w:rsid w:val="34196527"/>
    <w:rsid w:val="341B3FDD"/>
    <w:rsid w:val="341C1B03"/>
    <w:rsid w:val="34264730"/>
    <w:rsid w:val="34266DEB"/>
    <w:rsid w:val="342A2472"/>
    <w:rsid w:val="342B439E"/>
    <w:rsid w:val="342D3D10"/>
    <w:rsid w:val="34305306"/>
    <w:rsid w:val="3432091D"/>
    <w:rsid w:val="34346E4D"/>
    <w:rsid w:val="34367069"/>
    <w:rsid w:val="34383215"/>
    <w:rsid w:val="34384B8F"/>
    <w:rsid w:val="34401C96"/>
    <w:rsid w:val="3442156A"/>
    <w:rsid w:val="34425A0E"/>
    <w:rsid w:val="344277BC"/>
    <w:rsid w:val="34433534"/>
    <w:rsid w:val="344A522B"/>
    <w:rsid w:val="344D6161"/>
    <w:rsid w:val="344F012B"/>
    <w:rsid w:val="345319C9"/>
    <w:rsid w:val="345474EF"/>
    <w:rsid w:val="34555ECA"/>
    <w:rsid w:val="345614B9"/>
    <w:rsid w:val="345968B4"/>
    <w:rsid w:val="345B262C"/>
    <w:rsid w:val="345E3ECA"/>
    <w:rsid w:val="34614667"/>
    <w:rsid w:val="34636D8D"/>
    <w:rsid w:val="34661D88"/>
    <w:rsid w:val="34692F9B"/>
    <w:rsid w:val="346A0AC1"/>
    <w:rsid w:val="346A286F"/>
    <w:rsid w:val="346E6803"/>
    <w:rsid w:val="346F257B"/>
    <w:rsid w:val="347100A1"/>
    <w:rsid w:val="34781430"/>
    <w:rsid w:val="347A4163"/>
    <w:rsid w:val="347B0F20"/>
    <w:rsid w:val="34807357"/>
    <w:rsid w:val="34833930"/>
    <w:rsid w:val="348558FB"/>
    <w:rsid w:val="348778C8"/>
    <w:rsid w:val="34897199"/>
    <w:rsid w:val="348E3F5F"/>
    <w:rsid w:val="3491429F"/>
    <w:rsid w:val="34983880"/>
    <w:rsid w:val="349873DC"/>
    <w:rsid w:val="349A4349"/>
    <w:rsid w:val="349D49F2"/>
    <w:rsid w:val="349E076A"/>
    <w:rsid w:val="349F4C0E"/>
    <w:rsid w:val="34A02734"/>
    <w:rsid w:val="34A07D70"/>
    <w:rsid w:val="34A22009"/>
    <w:rsid w:val="34A22D8F"/>
    <w:rsid w:val="34A42225"/>
    <w:rsid w:val="34A65A0B"/>
    <w:rsid w:val="34A9783B"/>
    <w:rsid w:val="34AA710F"/>
    <w:rsid w:val="34AC732B"/>
    <w:rsid w:val="34AE125F"/>
    <w:rsid w:val="34B37FB2"/>
    <w:rsid w:val="34B63D06"/>
    <w:rsid w:val="34BB30CA"/>
    <w:rsid w:val="34BD6E42"/>
    <w:rsid w:val="34C12DD7"/>
    <w:rsid w:val="34C41B45"/>
    <w:rsid w:val="34C5786A"/>
    <w:rsid w:val="34C603ED"/>
    <w:rsid w:val="34C74F7D"/>
    <w:rsid w:val="34C93A39"/>
    <w:rsid w:val="34CC342B"/>
    <w:rsid w:val="34D4418C"/>
    <w:rsid w:val="34D523DE"/>
    <w:rsid w:val="34D81ECE"/>
    <w:rsid w:val="34D84426"/>
    <w:rsid w:val="34D85063"/>
    <w:rsid w:val="34DB551B"/>
    <w:rsid w:val="34DF325D"/>
    <w:rsid w:val="34E00D83"/>
    <w:rsid w:val="34E16FD5"/>
    <w:rsid w:val="34E268A9"/>
    <w:rsid w:val="34E6283D"/>
    <w:rsid w:val="34E70363"/>
    <w:rsid w:val="34E97C37"/>
    <w:rsid w:val="34EC3BCC"/>
    <w:rsid w:val="34EF16F6"/>
    <w:rsid w:val="34F13CB6"/>
    <w:rsid w:val="34F14D3E"/>
    <w:rsid w:val="34F32864"/>
    <w:rsid w:val="34F52A80"/>
    <w:rsid w:val="34F82570"/>
    <w:rsid w:val="34FA3BF3"/>
    <w:rsid w:val="34FB5BBD"/>
    <w:rsid w:val="34FF745B"/>
    <w:rsid w:val="350031D3"/>
    <w:rsid w:val="35020CF9"/>
    <w:rsid w:val="35066A3B"/>
    <w:rsid w:val="350727B3"/>
    <w:rsid w:val="3509652C"/>
    <w:rsid w:val="350B22A4"/>
    <w:rsid w:val="35101668"/>
    <w:rsid w:val="3511368D"/>
    <w:rsid w:val="35132F06"/>
    <w:rsid w:val="35133AD1"/>
    <w:rsid w:val="35134CB4"/>
    <w:rsid w:val="351647A5"/>
    <w:rsid w:val="3518051D"/>
    <w:rsid w:val="351C000D"/>
    <w:rsid w:val="351D1FD7"/>
    <w:rsid w:val="351D3D85"/>
    <w:rsid w:val="352073D1"/>
    <w:rsid w:val="35215623"/>
    <w:rsid w:val="35223149"/>
    <w:rsid w:val="35243365"/>
    <w:rsid w:val="3524722A"/>
    <w:rsid w:val="352548D7"/>
    <w:rsid w:val="35260E8C"/>
    <w:rsid w:val="35270760"/>
    <w:rsid w:val="352944D8"/>
    <w:rsid w:val="352A70A8"/>
    <w:rsid w:val="352B64A2"/>
    <w:rsid w:val="352F6829"/>
    <w:rsid w:val="35303AB8"/>
    <w:rsid w:val="353335A8"/>
    <w:rsid w:val="35373099"/>
    <w:rsid w:val="35380BBF"/>
    <w:rsid w:val="353A0493"/>
    <w:rsid w:val="353C245D"/>
    <w:rsid w:val="353C420B"/>
    <w:rsid w:val="353D7F83"/>
    <w:rsid w:val="353E4427"/>
    <w:rsid w:val="353F3CFB"/>
    <w:rsid w:val="3542559A"/>
    <w:rsid w:val="354457B6"/>
    <w:rsid w:val="3546508A"/>
    <w:rsid w:val="35492DCC"/>
    <w:rsid w:val="354B26A0"/>
    <w:rsid w:val="354D6418"/>
    <w:rsid w:val="354E3F3E"/>
    <w:rsid w:val="355377A7"/>
    <w:rsid w:val="35571045"/>
    <w:rsid w:val="35577297"/>
    <w:rsid w:val="355A28E3"/>
    <w:rsid w:val="355A6D87"/>
    <w:rsid w:val="355C665B"/>
    <w:rsid w:val="355D23D3"/>
    <w:rsid w:val="355E6877"/>
    <w:rsid w:val="35644FA8"/>
    <w:rsid w:val="35683252"/>
    <w:rsid w:val="35690D78"/>
    <w:rsid w:val="356B04B0"/>
    <w:rsid w:val="356B2D42"/>
    <w:rsid w:val="356D6ABA"/>
    <w:rsid w:val="35702107"/>
    <w:rsid w:val="357716E7"/>
    <w:rsid w:val="3578720D"/>
    <w:rsid w:val="357F67EE"/>
    <w:rsid w:val="358160C2"/>
    <w:rsid w:val="35843E04"/>
    <w:rsid w:val="358636D8"/>
    <w:rsid w:val="358856A2"/>
    <w:rsid w:val="35887450"/>
    <w:rsid w:val="358B6F41"/>
    <w:rsid w:val="358F1924"/>
    <w:rsid w:val="358F286E"/>
    <w:rsid w:val="35926521"/>
    <w:rsid w:val="3598340C"/>
    <w:rsid w:val="359A0309"/>
    <w:rsid w:val="359A3628"/>
    <w:rsid w:val="359B5E22"/>
    <w:rsid w:val="359C1AAB"/>
    <w:rsid w:val="359C2EFC"/>
    <w:rsid w:val="359E4EC6"/>
    <w:rsid w:val="35A10512"/>
    <w:rsid w:val="35A324DC"/>
    <w:rsid w:val="35A63D95"/>
    <w:rsid w:val="35A65B28"/>
    <w:rsid w:val="35AB1391"/>
    <w:rsid w:val="35AB313F"/>
    <w:rsid w:val="35AB3B2B"/>
    <w:rsid w:val="35AC6A9D"/>
    <w:rsid w:val="35AD5109"/>
    <w:rsid w:val="35AF70D3"/>
    <w:rsid w:val="35B11597"/>
    <w:rsid w:val="35B27244"/>
    <w:rsid w:val="35B37A91"/>
    <w:rsid w:val="35B46497"/>
    <w:rsid w:val="35B50461"/>
    <w:rsid w:val="35B5220F"/>
    <w:rsid w:val="35B91D00"/>
    <w:rsid w:val="35BA7826"/>
    <w:rsid w:val="35BB5A78"/>
    <w:rsid w:val="35C07501"/>
    <w:rsid w:val="35C12962"/>
    <w:rsid w:val="35C27944"/>
    <w:rsid w:val="35C30488"/>
    <w:rsid w:val="35C506A4"/>
    <w:rsid w:val="35C5388E"/>
    <w:rsid w:val="35C56367"/>
    <w:rsid w:val="35D11918"/>
    <w:rsid w:val="35D77919"/>
    <w:rsid w:val="35DC59EE"/>
    <w:rsid w:val="35E30B2B"/>
    <w:rsid w:val="35E47D8D"/>
    <w:rsid w:val="35E52AF5"/>
    <w:rsid w:val="35E56C94"/>
    <w:rsid w:val="35E6061B"/>
    <w:rsid w:val="35E623C9"/>
    <w:rsid w:val="35E825E5"/>
    <w:rsid w:val="35EB79DF"/>
    <w:rsid w:val="35EE2580"/>
    <w:rsid w:val="35F03248"/>
    <w:rsid w:val="35F1149A"/>
    <w:rsid w:val="35F17D17"/>
    <w:rsid w:val="35F9034E"/>
    <w:rsid w:val="35FA5E74"/>
    <w:rsid w:val="35FA7C22"/>
    <w:rsid w:val="35FB537C"/>
    <w:rsid w:val="35FE5964"/>
    <w:rsid w:val="360016DD"/>
    <w:rsid w:val="360311CD"/>
    <w:rsid w:val="36056CF3"/>
    <w:rsid w:val="36080591"/>
    <w:rsid w:val="360A255B"/>
    <w:rsid w:val="360B3E62"/>
    <w:rsid w:val="360C62D3"/>
    <w:rsid w:val="360D5BA8"/>
    <w:rsid w:val="361B6516"/>
    <w:rsid w:val="361E6007"/>
    <w:rsid w:val="36203B2D"/>
    <w:rsid w:val="36211653"/>
    <w:rsid w:val="3622247E"/>
    <w:rsid w:val="3623361D"/>
    <w:rsid w:val="362829E1"/>
    <w:rsid w:val="362C0724"/>
    <w:rsid w:val="362C24D2"/>
    <w:rsid w:val="36301896"/>
    <w:rsid w:val="363037C3"/>
    <w:rsid w:val="36343134"/>
    <w:rsid w:val="363475D8"/>
    <w:rsid w:val="36367635"/>
    <w:rsid w:val="36380975"/>
    <w:rsid w:val="363B44C3"/>
    <w:rsid w:val="36484E32"/>
    <w:rsid w:val="364970DE"/>
    <w:rsid w:val="364A2958"/>
    <w:rsid w:val="364A4F4A"/>
    <w:rsid w:val="364A6F3B"/>
    <w:rsid w:val="364E1FAC"/>
    <w:rsid w:val="364F1E29"/>
    <w:rsid w:val="36503AF9"/>
    <w:rsid w:val="36564BBA"/>
    <w:rsid w:val="365679D5"/>
    <w:rsid w:val="365752AD"/>
    <w:rsid w:val="365B1B17"/>
    <w:rsid w:val="365B2DB7"/>
    <w:rsid w:val="365B4B65"/>
    <w:rsid w:val="36631C6B"/>
    <w:rsid w:val="36637A22"/>
    <w:rsid w:val="36653C36"/>
    <w:rsid w:val="36657792"/>
    <w:rsid w:val="36681030"/>
    <w:rsid w:val="366854D4"/>
    <w:rsid w:val="36687282"/>
    <w:rsid w:val="366A4DA8"/>
    <w:rsid w:val="366C02C0"/>
    <w:rsid w:val="366D4898"/>
    <w:rsid w:val="3674007C"/>
    <w:rsid w:val="36743E79"/>
    <w:rsid w:val="367479D5"/>
    <w:rsid w:val="36794FEB"/>
    <w:rsid w:val="367B5207"/>
    <w:rsid w:val="367E4976"/>
    <w:rsid w:val="367F29FE"/>
    <w:rsid w:val="367F4CF7"/>
    <w:rsid w:val="36802159"/>
    <w:rsid w:val="368045CB"/>
    <w:rsid w:val="36851BE2"/>
    <w:rsid w:val="368816D2"/>
    <w:rsid w:val="368E77D3"/>
    <w:rsid w:val="36963DEF"/>
    <w:rsid w:val="36981E65"/>
    <w:rsid w:val="3699743B"/>
    <w:rsid w:val="369B3F26"/>
    <w:rsid w:val="369D517D"/>
    <w:rsid w:val="36A209E6"/>
    <w:rsid w:val="36A22794"/>
    <w:rsid w:val="36A24542"/>
    <w:rsid w:val="36A52284"/>
    <w:rsid w:val="36AA33F6"/>
    <w:rsid w:val="36AC614E"/>
    <w:rsid w:val="36B10C29"/>
    <w:rsid w:val="36B10E7F"/>
    <w:rsid w:val="36B22C95"/>
    <w:rsid w:val="36B6623F"/>
    <w:rsid w:val="36B67FED"/>
    <w:rsid w:val="36BA4A48"/>
    <w:rsid w:val="36BB3856"/>
    <w:rsid w:val="36BD137C"/>
    <w:rsid w:val="36BD5820"/>
    <w:rsid w:val="36BF474E"/>
    <w:rsid w:val="36C24DA9"/>
    <w:rsid w:val="36C26B8E"/>
    <w:rsid w:val="36C344B8"/>
    <w:rsid w:val="36C50230"/>
    <w:rsid w:val="36C546D4"/>
    <w:rsid w:val="36CA022A"/>
    <w:rsid w:val="36CE17DB"/>
    <w:rsid w:val="36CF7301"/>
    <w:rsid w:val="36D1134E"/>
    <w:rsid w:val="36D13079"/>
    <w:rsid w:val="36D33957"/>
    <w:rsid w:val="36D668E1"/>
    <w:rsid w:val="36D81DC5"/>
    <w:rsid w:val="36DA0180"/>
    <w:rsid w:val="36DA1F2E"/>
    <w:rsid w:val="36DD37CC"/>
    <w:rsid w:val="36DD557A"/>
    <w:rsid w:val="36DF562B"/>
    <w:rsid w:val="36E0506A"/>
    <w:rsid w:val="36E41E01"/>
    <w:rsid w:val="36E7289C"/>
    <w:rsid w:val="36E96615"/>
    <w:rsid w:val="36EA5EE9"/>
    <w:rsid w:val="36EB60E9"/>
    <w:rsid w:val="36F01751"/>
    <w:rsid w:val="36F154C9"/>
    <w:rsid w:val="36F62AE0"/>
    <w:rsid w:val="36FA5F6A"/>
    <w:rsid w:val="36FA7861"/>
    <w:rsid w:val="36FB00F6"/>
    <w:rsid w:val="36FF3742"/>
    <w:rsid w:val="36FF7BE6"/>
    <w:rsid w:val="37054AD1"/>
    <w:rsid w:val="3708654C"/>
    <w:rsid w:val="370A20E7"/>
    <w:rsid w:val="370C2303"/>
    <w:rsid w:val="37104F89"/>
    <w:rsid w:val="3711425A"/>
    <w:rsid w:val="371371EE"/>
    <w:rsid w:val="37147DA6"/>
    <w:rsid w:val="371511B8"/>
    <w:rsid w:val="37160A8C"/>
    <w:rsid w:val="3716362D"/>
    <w:rsid w:val="37180CA8"/>
    <w:rsid w:val="37182A56"/>
    <w:rsid w:val="37184804"/>
    <w:rsid w:val="371B2546"/>
    <w:rsid w:val="372550F8"/>
    <w:rsid w:val="37272C99"/>
    <w:rsid w:val="37296A11"/>
    <w:rsid w:val="372B2789"/>
    <w:rsid w:val="372C5D39"/>
    <w:rsid w:val="372E04CB"/>
    <w:rsid w:val="372E351E"/>
    <w:rsid w:val="37313B18"/>
    <w:rsid w:val="37321D6A"/>
    <w:rsid w:val="37323C01"/>
    <w:rsid w:val="3733163E"/>
    <w:rsid w:val="37353608"/>
    <w:rsid w:val="373553B6"/>
    <w:rsid w:val="373D24BC"/>
    <w:rsid w:val="373D426B"/>
    <w:rsid w:val="373F6235"/>
    <w:rsid w:val="37410504"/>
    <w:rsid w:val="37421881"/>
    <w:rsid w:val="37425D25"/>
    <w:rsid w:val="37427AD3"/>
    <w:rsid w:val="3744619F"/>
    <w:rsid w:val="37464376"/>
    <w:rsid w:val="37476E97"/>
    <w:rsid w:val="374A15B6"/>
    <w:rsid w:val="374E03A8"/>
    <w:rsid w:val="37531CE0"/>
    <w:rsid w:val="37555A58"/>
    <w:rsid w:val="37563E6B"/>
    <w:rsid w:val="375810A4"/>
    <w:rsid w:val="375D66BB"/>
    <w:rsid w:val="375F48B5"/>
    <w:rsid w:val="376161AB"/>
    <w:rsid w:val="37620175"/>
    <w:rsid w:val="376579E3"/>
    <w:rsid w:val="37661A13"/>
    <w:rsid w:val="37670CF2"/>
    <w:rsid w:val="376712E7"/>
    <w:rsid w:val="376E1D1A"/>
    <w:rsid w:val="37702892"/>
    <w:rsid w:val="377203B8"/>
    <w:rsid w:val="3776777C"/>
    <w:rsid w:val="37773C20"/>
    <w:rsid w:val="37797AAB"/>
    <w:rsid w:val="377A366D"/>
    <w:rsid w:val="377B3BAC"/>
    <w:rsid w:val="377E4FAF"/>
    <w:rsid w:val="37895702"/>
    <w:rsid w:val="378D4020"/>
    <w:rsid w:val="378D6FA0"/>
    <w:rsid w:val="378E4DC7"/>
    <w:rsid w:val="379320DC"/>
    <w:rsid w:val="37955E55"/>
    <w:rsid w:val="37965565"/>
    <w:rsid w:val="37991DE9"/>
    <w:rsid w:val="379C5435"/>
    <w:rsid w:val="379E46FE"/>
    <w:rsid w:val="37A147F9"/>
    <w:rsid w:val="37A30D30"/>
    <w:rsid w:val="37A4078E"/>
    <w:rsid w:val="37A578EA"/>
    <w:rsid w:val="37A662B4"/>
    <w:rsid w:val="37A75B88"/>
    <w:rsid w:val="37A83DDA"/>
    <w:rsid w:val="37AD13F0"/>
    <w:rsid w:val="37AE5168"/>
    <w:rsid w:val="37B26A07"/>
    <w:rsid w:val="37B3452D"/>
    <w:rsid w:val="37B87D95"/>
    <w:rsid w:val="37BA1D5F"/>
    <w:rsid w:val="37BF2ED1"/>
    <w:rsid w:val="37BF7375"/>
    <w:rsid w:val="37C06957"/>
    <w:rsid w:val="37CA34BD"/>
    <w:rsid w:val="37CB7AC8"/>
    <w:rsid w:val="37D050DF"/>
    <w:rsid w:val="37D20E57"/>
    <w:rsid w:val="37D2523E"/>
    <w:rsid w:val="37D46AC4"/>
    <w:rsid w:val="37D62C29"/>
    <w:rsid w:val="37D7646D"/>
    <w:rsid w:val="37D90437"/>
    <w:rsid w:val="37DA5F5D"/>
    <w:rsid w:val="37DC7264"/>
    <w:rsid w:val="37DE77FC"/>
    <w:rsid w:val="37E02438"/>
    <w:rsid w:val="37E053DC"/>
    <w:rsid w:val="37E10CD2"/>
    <w:rsid w:val="37E54763"/>
    <w:rsid w:val="37E62B54"/>
    <w:rsid w:val="37E8067A"/>
    <w:rsid w:val="37EF7C5B"/>
    <w:rsid w:val="37F30DCD"/>
    <w:rsid w:val="37F7266B"/>
    <w:rsid w:val="37F76B0F"/>
    <w:rsid w:val="37FB65FF"/>
    <w:rsid w:val="37FC2378"/>
    <w:rsid w:val="37FE1C4C"/>
    <w:rsid w:val="37FF425B"/>
    <w:rsid w:val="37FF59C4"/>
    <w:rsid w:val="38065C26"/>
    <w:rsid w:val="380755BE"/>
    <w:rsid w:val="38077590"/>
    <w:rsid w:val="38080D1C"/>
    <w:rsid w:val="38084878"/>
    <w:rsid w:val="3809239F"/>
    <w:rsid w:val="380A6843"/>
    <w:rsid w:val="380B25BB"/>
    <w:rsid w:val="380D00E1"/>
    <w:rsid w:val="380F260F"/>
    <w:rsid w:val="380F4BBC"/>
    <w:rsid w:val="38107BD1"/>
    <w:rsid w:val="38172D0E"/>
    <w:rsid w:val="38180993"/>
    <w:rsid w:val="38194CD8"/>
    <w:rsid w:val="381A0E63"/>
    <w:rsid w:val="38213B8C"/>
    <w:rsid w:val="3821572E"/>
    <w:rsid w:val="3822719A"/>
    <w:rsid w:val="38232590"/>
    <w:rsid w:val="38244D74"/>
    <w:rsid w:val="3825367C"/>
    <w:rsid w:val="38284F1B"/>
    <w:rsid w:val="382E76F8"/>
    <w:rsid w:val="38325D99"/>
    <w:rsid w:val="3833314B"/>
    <w:rsid w:val="38342E9A"/>
    <w:rsid w:val="383513E6"/>
    <w:rsid w:val="3837515E"/>
    <w:rsid w:val="38376F0C"/>
    <w:rsid w:val="38396EAE"/>
    <w:rsid w:val="383C3506"/>
    <w:rsid w:val="384004B6"/>
    <w:rsid w:val="38404012"/>
    <w:rsid w:val="384171BA"/>
    <w:rsid w:val="38417D8A"/>
    <w:rsid w:val="3845787B"/>
    <w:rsid w:val="38471845"/>
    <w:rsid w:val="384A6C3F"/>
    <w:rsid w:val="384D2BD3"/>
    <w:rsid w:val="38521F98"/>
    <w:rsid w:val="38547ABE"/>
    <w:rsid w:val="38555055"/>
    <w:rsid w:val="38583AFF"/>
    <w:rsid w:val="38591578"/>
    <w:rsid w:val="385C4BC4"/>
    <w:rsid w:val="38610E40"/>
    <w:rsid w:val="38673C95"/>
    <w:rsid w:val="38683E4F"/>
    <w:rsid w:val="386C3059"/>
    <w:rsid w:val="386F2B4A"/>
    <w:rsid w:val="38710E3F"/>
    <w:rsid w:val="387168C2"/>
    <w:rsid w:val="38744F5B"/>
    <w:rsid w:val="38746E9D"/>
    <w:rsid w:val="387719FE"/>
    <w:rsid w:val="387819D1"/>
    <w:rsid w:val="387D1690"/>
    <w:rsid w:val="388008B3"/>
    <w:rsid w:val="38871C41"/>
    <w:rsid w:val="388859B9"/>
    <w:rsid w:val="388A1731"/>
    <w:rsid w:val="388C36FB"/>
    <w:rsid w:val="388D1222"/>
    <w:rsid w:val="388F0AF6"/>
    <w:rsid w:val="38912AC0"/>
    <w:rsid w:val="3891486E"/>
    <w:rsid w:val="38923B67"/>
    <w:rsid w:val="38924BDD"/>
    <w:rsid w:val="389425B0"/>
    <w:rsid w:val="3894435E"/>
    <w:rsid w:val="389649C5"/>
    <w:rsid w:val="389760C5"/>
    <w:rsid w:val="389E1175"/>
    <w:rsid w:val="38A327F3"/>
    <w:rsid w:val="38A439A7"/>
    <w:rsid w:val="38A63653"/>
    <w:rsid w:val="38A65E3F"/>
    <w:rsid w:val="38AA1DD4"/>
    <w:rsid w:val="38AC16A8"/>
    <w:rsid w:val="38AD6696"/>
    <w:rsid w:val="38AE3672"/>
    <w:rsid w:val="38B13162"/>
    <w:rsid w:val="38B16E3F"/>
    <w:rsid w:val="38B4055C"/>
    <w:rsid w:val="38B44A00"/>
    <w:rsid w:val="38B60778"/>
    <w:rsid w:val="38B62526"/>
    <w:rsid w:val="38BD1B07"/>
    <w:rsid w:val="38BE762D"/>
    <w:rsid w:val="38C06F01"/>
    <w:rsid w:val="38C8225A"/>
    <w:rsid w:val="38C904AC"/>
    <w:rsid w:val="38C94550"/>
    <w:rsid w:val="38CC09A1"/>
    <w:rsid w:val="38CC1D4A"/>
    <w:rsid w:val="38CC3AF8"/>
    <w:rsid w:val="38CE286D"/>
    <w:rsid w:val="38CF183A"/>
    <w:rsid w:val="38D330D8"/>
    <w:rsid w:val="38D40BFF"/>
    <w:rsid w:val="38D62924"/>
    <w:rsid w:val="38D76A02"/>
    <w:rsid w:val="38DA5862"/>
    <w:rsid w:val="38DE4A7C"/>
    <w:rsid w:val="38DF7CCF"/>
    <w:rsid w:val="38E01351"/>
    <w:rsid w:val="38E075A3"/>
    <w:rsid w:val="38E2156D"/>
    <w:rsid w:val="38E250CA"/>
    <w:rsid w:val="38E4489E"/>
    <w:rsid w:val="38E52E0C"/>
    <w:rsid w:val="38E56968"/>
    <w:rsid w:val="38EC5F48"/>
    <w:rsid w:val="38EC7CF6"/>
    <w:rsid w:val="38F11C08"/>
    <w:rsid w:val="38F31085"/>
    <w:rsid w:val="38F512A1"/>
    <w:rsid w:val="38FA68B7"/>
    <w:rsid w:val="38FE5C7B"/>
    <w:rsid w:val="39033292"/>
    <w:rsid w:val="39047736"/>
    <w:rsid w:val="39074B30"/>
    <w:rsid w:val="390E2362"/>
    <w:rsid w:val="390E4110"/>
    <w:rsid w:val="390F1C37"/>
    <w:rsid w:val="391159AF"/>
    <w:rsid w:val="391361DB"/>
    <w:rsid w:val="3918653B"/>
    <w:rsid w:val="39186D3D"/>
    <w:rsid w:val="39205BF2"/>
    <w:rsid w:val="3922196A"/>
    <w:rsid w:val="39225E0E"/>
    <w:rsid w:val="39237490"/>
    <w:rsid w:val="39241B86"/>
    <w:rsid w:val="39243934"/>
    <w:rsid w:val="39290F4A"/>
    <w:rsid w:val="39291B42"/>
    <w:rsid w:val="392C27E9"/>
    <w:rsid w:val="392F4087"/>
    <w:rsid w:val="39316051"/>
    <w:rsid w:val="393B0C7E"/>
    <w:rsid w:val="393D67A4"/>
    <w:rsid w:val="39406294"/>
    <w:rsid w:val="394144E6"/>
    <w:rsid w:val="39442FF8"/>
    <w:rsid w:val="394538AA"/>
    <w:rsid w:val="39464EFD"/>
    <w:rsid w:val="394915ED"/>
    <w:rsid w:val="3952685B"/>
    <w:rsid w:val="39537CF4"/>
    <w:rsid w:val="39561614"/>
    <w:rsid w:val="39575F46"/>
    <w:rsid w:val="3958538C"/>
    <w:rsid w:val="395A1104"/>
    <w:rsid w:val="395A3541"/>
    <w:rsid w:val="395A7356"/>
    <w:rsid w:val="395B30CE"/>
    <w:rsid w:val="395F496C"/>
    <w:rsid w:val="39602492"/>
    <w:rsid w:val="39616936"/>
    <w:rsid w:val="3962445C"/>
    <w:rsid w:val="3962620A"/>
    <w:rsid w:val="39671A73"/>
    <w:rsid w:val="39673821"/>
    <w:rsid w:val="39693A3D"/>
    <w:rsid w:val="396C0E37"/>
    <w:rsid w:val="396C7089"/>
    <w:rsid w:val="39700927"/>
    <w:rsid w:val="397071A2"/>
    <w:rsid w:val="3971655D"/>
    <w:rsid w:val="39730417"/>
    <w:rsid w:val="39736669"/>
    <w:rsid w:val="39741150"/>
    <w:rsid w:val="39763A64"/>
    <w:rsid w:val="39766C71"/>
    <w:rsid w:val="397B72CC"/>
    <w:rsid w:val="397C544B"/>
    <w:rsid w:val="397D3044"/>
    <w:rsid w:val="398048E2"/>
    <w:rsid w:val="398055C2"/>
    <w:rsid w:val="3982065B"/>
    <w:rsid w:val="3986639D"/>
    <w:rsid w:val="39873EC3"/>
    <w:rsid w:val="398770B2"/>
    <w:rsid w:val="398919E9"/>
    <w:rsid w:val="398B750F"/>
    <w:rsid w:val="39900841"/>
    <w:rsid w:val="3995213C"/>
    <w:rsid w:val="399534F3"/>
    <w:rsid w:val="39972053"/>
    <w:rsid w:val="399B598B"/>
    <w:rsid w:val="399F120C"/>
    <w:rsid w:val="39A20CFD"/>
    <w:rsid w:val="39A46823"/>
    <w:rsid w:val="39A86313"/>
    <w:rsid w:val="39AB195F"/>
    <w:rsid w:val="39AD1B7B"/>
    <w:rsid w:val="39AE31FE"/>
    <w:rsid w:val="39B20F40"/>
    <w:rsid w:val="39B2186B"/>
    <w:rsid w:val="39B2551A"/>
    <w:rsid w:val="39B5458C"/>
    <w:rsid w:val="39B7532B"/>
    <w:rsid w:val="39B822CE"/>
    <w:rsid w:val="39BA1ADC"/>
    <w:rsid w:val="39BA1BA2"/>
    <w:rsid w:val="39BA4298"/>
    <w:rsid w:val="39BA6918"/>
    <w:rsid w:val="39BC3B6C"/>
    <w:rsid w:val="39BE5B37"/>
    <w:rsid w:val="39C12F31"/>
    <w:rsid w:val="39C46EC5"/>
    <w:rsid w:val="39C66799"/>
    <w:rsid w:val="39C944DB"/>
    <w:rsid w:val="39CC60DF"/>
    <w:rsid w:val="39CC68E1"/>
    <w:rsid w:val="39CD3FCC"/>
    <w:rsid w:val="39D013C6"/>
    <w:rsid w:val="39D2513E"/>
    <w:rsid w:val="39D32469"/>
    <w:rsid w:val="39D52E80"/>
    <w:rsid w:val="39D569DC"/>
    <w:rsid w:val="39D92970"/>
    <w:rsid w:val="39DA2245"/>
    <w:rsid w:val="39DB4726"/>
    <w:rsid w:val="39DC7540"/>
    <w:rsid w:val="39DD0225"/>
    <w:rsid w:val="39E66E3B"/>
    <w:rsid w:val="39E8452B"/>
    <w:rsid w:val="39EE5CF0"/>
    <w:rsid w:val="39F257E0"/>
    <w:rsid w:val="39F40A57"/>
    <w:rsid w:val="39F50E2C"/>
    <w:rsid w:val="39F552D0"/>
    <w:rsid w:val="39F71049"/>
    <w:rsid w:val="39FC613D"/>
    <w:rsid w:val="39FF7EFD"/>
    <w:rsid w:val="3A0B4AF4"/>
    <w:rsid w:val="3A0C7167"/>
    <w:rsid w:val="3A0D43C8"/>
    <w:rsid w:val="3A0E3A4A"/>
    <w:rsid w:val="3A0F6392"/>
    <w:rsid w:val="3A1219DE"/>
    <w:rsid w:val="3A125E82"/>
    <w:rsid w:val="3A1514CF"/>
    <w:rsid w:val="3A153030"/>
    <w:rsid w:val="3A155772"/>
    <w:rsid w:val="3A176FF5"/>
    <w:rsid w:val="3A190FBF"/>
    <w:rsid w:val="3A1B478A"/>
    <w:rsid w:val="3A1C285D"/>
    <w:rsid w:val="3A1C5E11"/>
    <w:rsid w:val="3A1E4827"/>
    <w:rsid w:val="3A1F40FB"/>
    <w:rsid w:val="3A202970"/>
    <w:rsid w:val="3A231E3E"/>
    <w:rsid w:val="3A281202"/>
    <w:rsid w:val="3A293B6B"/>
    <w:rsid w:val="3A296D28"/>
    <w:rsid w:val="3A30455A"/>
    <w:rsid w:val="3A325BDD"/>
    <w:rsid w:val="3A345DF9"/>
    <w:rsid w:val="3A347BA7"/>
    <w:rsid w:val="3A3714E2"/>
    <w:rsid w:val="3A374D22"/>
    <w:rsid w:val="3A3C0EF2"/>
    <w:rsid w:val="3A3E0A25"/>
    <w:rsid w:val="3A3E1B6E"/>
    <w:rsid w:val="3A3E6C77"/>
    <w:rsid w:val="3A430DC5"/>
    <w:rsid w:val="3A43118F"/>
    <w:rsid w:val="3A443B62"/>
    <w:rsid w:val="3A445910"/>
    <w:rsid w:val="3A4A561C"/>
    <w:rsid w:val="3A4B4EF0"/>
    <w:rsid w:val="3A4D5FCB"/>
    <w:rsid w:val="3A4F0AA8"/>
    <w:rsid w:val="3A500759"/>
    <w:rsid w:val="3A517056"/>
    <w:rsid w:val="3A562BD8"/>
    <w:rsid w:val="3A563FC1"/>
    <w:rsid w:val="3A59760D"/>
    <w:rsid w:val="3A5A5133"/>
    <w:rsid w:val="3A5C0EAC"/>
    <w:rsid w:val="3A5D4247"/>
    <w:rsid w:val="3A5E69D2"/>
    <w:rsid w:val="3A5F1349"/>
    <w:rsid w:val="3A6013A6"/>
    <w:rsid w:val="3A652CCE"/>
    <w:rsid w:val="3A661D2A"/>
    <w:rsid w:val="3A685AA2"/>
    <w:rsid w:val="3A6A181A"/>
    <w:rsid w:val="3A6A55FA"/>
    <w:rsid w:val="3A6B0AF2"/>
    <w:rsid w:val="3A706705"/>
    <w:rsid w:val="3A712BA9"/>
    <w:rsid w:val="3A72247D"/>
    <w:rsid w:val="3A726921"/>
    <w:rsid w:val="3A735F50"/>
    <w:rsid w:val="3A767A79"/>
    <w:rsid w:val="3A773F37"/>
    <w:rsid w:val="3A7A7584"/>
    <w:rsid w:val="3A7B3A28"/>
    <w:rsid w:val="3A7D1855"/>
    <w:rsid w:val="3A7D61D4"/>
    <w:rsid w:val="3A816B64"/>
    <w:rsid w:val="3A8231C1"/>
    <w:rsid w:val="3A8260FB"/>
    <w:rsid w:val="3A830B2E"/>
    <w:rsid w:val="3A8521B0"/>
    <w:rsid w:val="3A853CFC"/>
    <w:rsid w:val="3A854109"/>
    <w:rsid w:val="3A887EF3"/>
    <w:rsid w:val="3A89082E"/>
    <w:rsid w:val="3A897546"/>
    <w:rsid w:val="3A8C2406"/>
    <w:rsid w:val="3A8D08BE"/>
    <w:rsid w:val="3A922B1F"/>
    <w:rsid w:val="3A940645"/>
    <w:rsid w:val="3A946897"/>
    <w:rsid w:val="3A992100"/>
    <w:rsid w:val="3A9B5E78"/>
    <w:rsid w:val="3AA54601"/>
    <w:rsid w:val="3AA92BD5"/>
    <w:rsid w:val="3AAC3BE1"/>
    <w:rsid w:val="3AAD5BAB"/>
    <w:rsid w:val="3AB17449"/>
    <w:rsid w:val="3AB26D1E"/>
    <w:rsid w:val="3AB27B94"/>
    <w:rsid w:val="3AB331C1"/>
    <w:rsid w:val="3AB42A96"/>
    <w:rsid w:val="3AB52927"/>
    <w:rsid w:val="3AB72586"/>
    <w:rsid w:val="3AB74334"/>
    <w:rsid w:val="3AB807D8"/>
    <w:rsid w:val="3AB900AC"/>
    <w:rsid w:val="3ABB02C8"/>
    <w:rsid w:val="3ABB334C"/>
    <w:rsid w:val="3ABC7B9C"/>
    <w:rsid w:val="3ABE56C2"/>
    <w:rsid w:val="3AC0143A"/>
    <w:rsid w:val="3AC46010"/>
    <w:rsid w:val="3AC727C9"/>
    <w:rsid w:val="3ACA22B9"/>
    <w:rsid w:val="3ACC7DDF"/>
    <w:rsid w:val="3AD03F71"/>
    <w:rsid w:val="3AD13648"/>
    <w:rsid w:val="3AD13F21"/>
    <w:rsid w:val="3AD153F6"/>
    <w:rsid w:val="3AD273C0"/>
    <w:rsid w:val="3AD35612"/>
    <w:rsid w:val="3AD4138A"/>
    <w:rsid w:val="3AD46C94"/>
    <w:rsid w:val="3AD504BC"/>
    <w:rsid w:val="3AD60C5E"/>
    <w:rsid w:val="3AD849D6"/>
    <w:rsid w:val="3AD969A0"/>
    <w:rsid w:val="3ADB0BE6"/>
    <w:rsid w:val="3AE27603"/>
    <w:rsid w:val="3AE356EC"/>
    <w:rsid w:val="3AE570F3"/>
    <w:rsid w:val="3AE710BD"/>
    <w:rsid w:val="3AE83416"/>
    <w:rsid w:val="3AE84F21"/>
    <w:rsid w:val="3AEC0481"/>
    <w:rsid w:val="3AEC222F"/>
    <w:rsid w:val="3AEE41FA"/>
    <w:rsid w:val="3AEF1D20"/>
    <w:rsid w:val="3AEF5E55"/>
    <w:rsid w:val="3AF15A98"/>
    <w:rsid w:val="3AF31810"/>
    <w:rsid w:val="3AF630AE"/>
    <w:rsid w:val="3AF86E26"/>
    <w:rsid w:val="3AFD5BAD"/>
    <w:rsid w:val="3AFF0D6C"/>
    <w:rsid w:val="3B021A53"/>
    <w:rsid w:val="3B023801"/>
    <w:rsid w:val="3B057795"/>
    <w:rsid w:val="3B07350D"/>
    <w:rsid w:val="3B075DBD"/>
    <w:rsid w:val="3B082DE1"/>
    <w:rsid w:val="3B0A6B5A"/>
    <w:rsid w:val="3B196D9D"/>
    <w:rsid w:val="3B1B0D67"/>
    <w:rsid w:val="3B1D00A4"/>
    <w:rsid w:val="3B1E1277"/>
    <w:rsid w:val="3B1F0857"/>
    <w:rsid w:val="3B1F2605"/>
    <w:rsid w:val="3B20637D"/>
    <w:rsid w:val="3B212C76"/>
    <w:rsid w:val="3B2229C5"/>
    <w:rsid w:val="3B241639"/>
    <w:rsid w:val="3B273268"/>
    <w:rsid w:val="3B286FE0"/>
    <w:rsid w:val="3B293484"/>
    <w:rsid w:val="3B2958E9"/>
    <w:rsid w:val="3B2A2D58"/>
    <w:rsid w:val="3B2D45F6"/>
    <w:rsid w:val="3B2E2848"/>
    <w:rsid w:val="3B2F036E"/>
    <w:rsid w:val="3B331C0C"/>
    <w:rsid w:val="3B340B10"/>
    <w:rsid w:val="3B3616FD"/>
    <w:rsid w:val="3B381919"/>
    <w:rsid w:val="3B3B31B7"/>
    <w:rsid w:val="3B3B4F65"/>
    <w:rsid w:val="3B3E6803"/>
    <w:rsid w:val="3B40257B"/>
    <w:rsid w:val="3B4342F2"/>
    <w:rsid w:val="3B455DE4"/>
    <w:rsid w:val="3B460044"/>
    <w:rsid w:val="3B4A51A8"/>
    <w:rsid w:val="3B4C7172"/>
    <w:rsid w:val="3B514788"/>
    <w:rsid w:val="3B530501"/>
    <w:rsid w:val="3B5D312D"/>
    <w:rsid w:val="3B5D4EDB"/>
    <w:rsid w:val="3B60677A"/>
    <w:rsid w:val="3B620744"/>
    <w:rsid w:val="3B6224F2"/>
    <w:rsid w:val="3B634586"/>
    <w:rsid w:val="3B646A73"/>
    <w:rsid w:val="3B677B08"/>
    <w:rsid w:val="3B6A1D70"/>
    <w:rsid w:val="3B6C1BBC"/>
    <w:rsid w:val="3B6F4C0F"/>
    <w:rsid w:val="3B7010B2"/>
    <w:rsid w:val="3B705907"/>
    <w:rsid w:val="3B750477"/>
    <w:rsid w:val="3B7921C4"/>
    <w:rsid w:val="3B7F12F6"/>
    <w:rsid w:val="3B81506E"/>
    <w:rsid w:val="3B842468"/>
    <w:rsid w:val="3B851BC1"/>
    <w:rsid w:val="3B862DEF"/>
    <w:rsid w:val="3B871F58"/>
    <w:rsid w:val="3B8C756F"/>
    <w:rsid w:val="3B903503"/>
    <w:rsid w:val="3B911029"/>
    <w:rsid w:val="3B9528C7"/>
    <w:rsid w:val="3B96663F"/>
    <w:rsid w:val="3B9D352A"/>
    <w:rsid w:val="3BA13047"/>
    <w:rsid w:val="3BA37D1F"/>
    <w:rsid w:val="3BA40D5C"/>
    <w:rsid w:val="3BA55E21"/>
    <w:rsid w:val="3BA725FA"/>
    <w:rsid w:val="3BA90120"/>
    <w:rsid w:val="3BAA5C47"/>
    <w:rsid w:val="3BAC54A0"/>
    <w:rsid w:val="3BAC5E63"/>
    <w:rsid w:val="3BAE2281"/>
    <w:rsid w:val="3BB014AF"/>
    <w:rsid w:val="3BB07701"/>
    <w:rsid w:val="3BB15227"/>
    <w:rsid w:val="3BB15CD6"/>
    <w:rsid w:val="3BB37118"/>
    <w:rsid w:val="3BB450D2"/>
    <w:rsid w:val="3BB45E27"/>
    <w:rsid w:val="3BB47700"/>
    <w:rsid w:val="3BB51625"/>
    <w:rsid w:val="3BB52F69"/>
    <w:rsid w:val="3BB83A55"/>
    <w:rsid w:val="3BB865B6"/>
    <w:rsid w:val="3BB928B4"/>
    <w:rsid w:val="3BBF7944"/>
    <w:rsid w:val="3BC35686"/>
    <w:rsid w:val="3BC540CC"/>
    <w:rsid w:val="3BC57EFE"/>
    <w:rsid w:val="3BC62A80"/>
    <w:rsid w:val="3BC65956"/>
    <w:rsid w:val="3BC772B6"/>
    <w:rsid w:val="3BCB5986"/>
    <w:rsid w:val="3BCD02B3"/>
    <w:rsid w:val="3BCE5DD9"/>
    <w:rsid w:val="3BD038FF"/>
    <w:rsid w:val="3BD258C9"/>
    <w:rsid w:val="3BD8333A"/>
    <w:rsid w:val="3BDB4052"/>
    <w:rsid w:val="3BDF3B42"/>
    <w:rsid w:val="3BE253E0"/>
    <w:rsid w:val="3BE33C0D"/>
    <w:rsid w:val="3BE641A5"/>
    <w:rsid w:val="3BE949C1"/>
    <w:rsid w:val="3BE97A7F"/>
    <w:rsid w:val="3BEB24E7"/>
    <w:rsid w:val="3BED2703"/>
    <w:rsid w:val="3BF03FA1"/>
    <w:rsid w:val="3BF33A92"/>
    <w:rsid w:val="3BF910A8"/>
    <w:rsid w:val="3BFA4E20"/>
    <w:rsid w:val="3BFC6368"/>
    <w:rsid w:val="3BFC64A2"/>
    <w:rsid w:val="3C016259"/>
    <w:rsid w:val="3C047A4D"/>
    <w:rsid w:val="3C05702B"/>
    <w:rsid w:val="3C090BBF"/>
    <w:rsid w:val="3C13686D"/>
    <w:rsid w:val="3C1732DC"/>
    <w:rsid w:val="3C187054"/>
    <w:rsid w:val="3C1A101E"/>
    <w:rsid w:val="3C1A7270"/>
    <w:rsid w:val="3C1F6635"/>
    <w:rsid w:val="3C2123AD"/>
    <w:rsid w:val="3C221C81"/>
    <w:rsid w:val="3C237ED3"/>
    <w:rsid w:val="3C2459F9"/>
    <w:rsid w:val="3C2679C3"/>
    <w:rsid w:val="3C282E00"/>
    <w:rsid w:val="3C28373B"/>
    <w:rsid w:val="3C291261"/>
    <w:rsid w:val="3C2B4FD9"/>
    <w:rsid w:val="3C2E0626"/>
    <w:rsid w:val="3C335C3C"/>
    <w:rsid w:val="3C3420E0"/>
    <w:rsid w:val="3C37397E"/>
    <w:rsid w:val="3C3976F6"/>
    <w:rsid w:val="3C3A6A09"/>
    <w:rsid w:val="3C3F6F8B"/>
    <w:rsid w:val="3C406CD7"/>
    <w:rsid w:val="3C410359"/>
    <w:rsid w:val="3C4936B2"/>
    <w:rsid w:val="3C4944FC"/>
    <w:rsid w:val="3C4B567C"/>
    <w:rsid w:val="3C4D6CFE"/>
    <w:rsid w:val="3C502C92"/>
    <w:rsid w:val="3C5207B8"/>
    <w:rsid w:val="3C534D54"/>
    <w:rsid w:val="3C577B7C"/>
    <w:rsid w:val="3C591A57"/>
    <w:rsid w:val="3C597D99"/>
    <w:rsid w:val="3C5F6A31"/>
    <w:rsid w:val="3C6127A9"/>
    <w:rsid w:val="3C63209A"/>
    <w:rsid w:val="3C6329C5"/>
    <w:rsid w:val="3C634773"/>
    <w:rsid w:val="3C644CD1"/>
    <w:rsid w:val="3C667DC0"/>
    <w:rsid w:val="3C6A6406"/>
    <w:rsid w:val="3C6B7896"/>
    <w:rsid w:val="3C6B7ACC"/>
    <w:rsid w:val="3C6C3D93"/>
    <w:rsid w:val="3C6D78EB"/>
    <w:rsid w:val="3C70334F"/>
    <w:rsid w:val="3C722C08"/>
    <w:rsid w:val="3C7236E7"/>
    <w:rsid w:val="3C727444"/>
    <w:rsid w:val="3C737085"/>
    <w:rsid w:val="3C746980"/>
    <w:rsid w:val="3C776471"/>
    <w:rsid w:val="3C795D45"/>
    <w:rsid w:val="3C797D13"/>
    <w:rsid w:val="3C7A2DA6"/>
    <w:rsid w:val="3C7A386B"/>
    <w:rsid w:val="3C7C0DA6"/>
    <w:rsid w:val="3C7F0E81"/>
    <w:rsid w:val="3C806348"/>
    <w:rsid w:val="3C812767"/>
    <w:rsid w:val="3C836BC3"/>
    <w:rsid w:val="3C8446EA"/>
    <w:rsid w:val="3C8666B4"/>
    <w:rsid w:val="3C885F88"/>
    <w:rsid w:val="3C8A1D00"/>
    <w:rsid w:val="3C8F5568"/>
    <w:rsid w:val="3C904B17"/>
    <w:rsid w:val="3C9115B1"/>
    <w:rsid w:val="3C917532"/>
    <w:rsid w:val="3C9506A5"/>
    <w:rsid w:val="3C9708C1"/>
    <w:rsid w:val="3C9C1A33"/>
    <w:rsid w:val="3CA01523"/>
    <w:rsid w:val="3CA54D8C"/>
    <w:rsid w:val="3CA737D7"/>
    <w:rsid w:val="3CAB2158"/>
    <w:rsid w:val="3CAB7EC8"/>
    <w:rsid w:val="3CAC21A2"/>
    <w:rsid w:val="3CAD1E92"/>
    <w:rsid w:val="3CAD3C40"/>
    <w:rsid w:val="3CB11983"/>
    <w:rsid w:val="3CB44794"/>
    <w:rsid w:val="3CB6664A"/>
    <w:rsid w:val="3CB66F99"/>
    <w:rsid w:val="3CBE19AA"/>
    <w:rsid w:val="3CBE5E4E"/>
    <w:rsid w:val="3CC05665"/>
    <w:rsid w:val="3CC06DF4"/>
    <w:rsid w:val="3CC1212F"/>
    <w:rsid w:val="3CC42B41"/>
    <w:rsid w:val="3CC64D02"/>
    <w:rsid w:val="3CCC3715"/>
    <w:rsid w:val="3CCD42E3"/>
    <w:rsid w:val="3CCD7E3F"/>
    <w:rsid w:val="3CD016DD"/>
    <w:rsid w:val="3CD2615F"/>
    <w:rsid w:val="3CD411CD"/>
    <w:rsid w:val="3CD63197"/>
    <w:rsid w:val="3CD72A6B"/>
    <w:rsid w:val="3CD839E0"/>
    <w:rsid w:val="3CD92C87"/>
    <w:rsid w:val="3CD94A35"/>
    <w:rsid w:val="3CD967E3"/>
    <w:rsid w:val="3CDA3107"/>
    <w:rsid w:val="3CDD06FA"/>
    <w:rsid w:val="3CDD2778"/>
    <w:rsid w:val="3CDE3DFA"/>
    <w:rsid w:val="3CE777DA"/>
    <w:rsid w:val="3CE917DC"/>
    <w:rsid w:val="3CEA09F1"/>
    <w:rsid w:val="3CF03B2D"/>
    <w:rsid w:val="3CF11D7F"/>
    <w:rsid w:val="3CF17FD1"/>
    <w:rsid w:val="3CF25AF7"/>
    <w:rsid w:val="3CF655E7"/>
    <w:rsid w:val="3CF74EBC"/>
    <w:rsid w:val="3CFC0570"/>
    <w:rsid w:val="3CFC24D2"/>
    <w:rsid w:val="3CFE26EE"/>
    <w:rsid w:val="3D0715A3"/>
    <w:rsid w:val="3D0777F5"/>
    <w:rsid w:val="3D0A1093"/>
    <w:rsid w:val="3D0A2E41"/>
    <w:rsid w:val="3D0F0457"/>
    <w:rsid w:val="3D0F2205"/>
    <w:rsid w:val="3D11205B"/>
    <w:rsid w:val="3D121CF5"/>
    <w:rsid w:val="3D1617E6"/>
    <w:rsid w:val="3D1E4B3E"/>
    <w:rsid w:val="3D22462E"/>
    <w:rsid w:val="3D2263DC"/>
    <w:rsid w:val="3D271C45"/>
    <w:rsid w:val="3D2C1009"/>
    <w:rsid w:val="3D2C2DB7"/>
    <w:rsid w:val="3D2C6068"/>
    <w:rsid w:val="3D323F8C"/>
    <w:rsid w:val="3D347EBE"/>
    <w:rsid w:val="3D363C36"/>
    <w:rsid w:val="3D37175C"/>
    <w:rsid w:val="3D3A1978"/>
    <w:rsid w:val="3D3A19A2"/>
    <w:rsid w:val="3D3B0DBA"/>
    <w:rsid w:val="3D3B2FFA"/>
    <w:rsid w:val="3D3D5422"/>
    <w:rsid w:val="3D3D55B3"/>
    <w:rsid w:val="3D3F6F8E"/>
    <w:rsid w:val="3D430101"/>
    <w:rsid w:val="3D446170"/>
    <w:rsid w:val="3D45031D"/>
    <w:rsid w:val="3D472B15"/>
    <w:rsid w:val="3D474095"/>
    <w:rsid w:val="3D485717"/>
    <w:rsid w:val="3D4A76E1"/>
    <w:rsid w:val="3D4B404C"/>
    <w:rsid w:val="3D4D70DB"/>
    <w:rsid w:val="3D50398D"/>
    <w:rsid w:val="3D51281E"/>
    <w:rsid w:val="3D513836"/>
    <w:rsid w:val="3D540560"/>
    <w:rsid w:val="3D5619DA"/>
    <w:rsid w:val="3D581DFE"/>
    <w:rsid w:val="3D5A63BA"/>
    <w:rsid w:val="3D5B6EE5"/>
    <w:rsid w:val="3D5D11C3"/>
    <w:rsid w:val="3D5F19DB"/>
    <w:rsid w:val="3D5F318D"/>
    <w:rsid w:val="3D604ED5"/>
    <w:rsid w:val="3D624A2B"/>
    <w:rsid w:val="3D6267D9"/>
    <w:rsid w:val="3D6469F5"/>
    <w:rsid w:val="3D6562C9"/>
    <w:rsid w:val="3D6954E4"/>
    <w:rsid w:val="3D695DB9"/>
    <w:rsid w:val="3D6A1B31"/>
    <w:rsid w:val="3D6A38DF"/>
    <w:rsid w:val="3D6A733F"/>
    <w:rsid w:val="3D6B4BE1"/>
    <w:rsid w:val="3D6F0EF6"/>
    <w:rsid w:val="3D6F7148"/>
    <w:rsid w:val="3D734E8A"/>
    <w:rsid w:val="3D762284"/>
    <w:rsid w:val="3D793B23"/>
    <w:rsid w:val="3D7D7AB7"/>
    <w:rsid w:val="3D877FA8"/>
    <w:rsid w:val="3D881B77"/>
    <w:rsid w:val="3D8A3F82"/>
    <w:rsid w:val="3D8B14FA"/>
    <w:rsid w:val="3D8F419A"/>
    <w:rsid w:val="3D932E36"/>
    <w:rsid w:val="3D960B78"/>
    <w:rsid w:val="3D9646D4"/>
    <w:rsid w:val="3D98044D"/>
    <w:rsid w:val="3D98669F"/>
    <w:rsid w:val="3D9A3C75"/>
    <w:rsid w:val="3D9A41C5"/>
    <w:rsid w:val="3D9C70C6"/>
    <w:rsid w:val="3D9F7A2D"/>
    <w:rsid w:val="3DA212CB"/>
    <w:rsid w:val="3DA54918"/>
    <w:rsid w:val="3DA6700D"/>
    <w:rsid w:val="3DAB4624"/>
    <w:rsid w:val="3DAB63D2"/>
    <w:rsid w:val="3DAC3EF8"/>
    <w:rsid w:val="3DAE5790"/>
    <w:rsid w:val="3DB1320E"/>
    <w:rsid w:val="3DB17760"/>
    <w:rsid w:val="3DB27D3F"/>
    <w:rsid w:val="3DB35286"/>
    <w:rsid w:val="3DB42A6A"/>
    <w:rsid w:val="3DB42DAD"/>
    <w:rsid w:val="3DB50FFF"/>
    <w:rsid w:val="3DB8289D"/>
    <w:rsid w:val="3DBA03C3"/>
    <w:rsid w:val="3DBA4867"/>
    <w:rsid w:val="3DBC05DF"/>
    <w:rsid w:val="3DBD7EB3"/>
    <w:rsid w:val="3DC01751"/>
    <w:rsid w:val="3DC4771F"/>
    <w:rsid w:val="3DC56D68"/>
    <w:rsid w:val="3DC71CC3"/>
    <w:rsid w:val="3DCB0822"/>
    <w:rsid w:val="3DCB25D0"/>
    <w:rsid w:val="3DCF679E"/>
    <w:rsid w:val="3DD26F16"/>
    <w:rsid w:val="3DD551FD"/>
    <w:rsid w:val="3DD75419"/>
    <w:rsid w:val="3DDA2813"/>
    <w:rsid w:val="3DDD295E"/>
    <w:rsid w:val="3DE25B6C"/>
    <w:rsid w:val="3DE25DB3"/>
    <w:rsid w:val="3DE509C4"/>
    <w:rsid w:val="3DE511B8"/>
    <w:rsid w:val="3DE6565C"/>
    <w:rsid w:val="3DE6670E"/>
    <w:rsid w:val="3DE74A25"/>
    <w:rsid w:val="3DEA67CE"/>
    <w:rsid w:val="3DEB2C72"/>
    <w:rsid w:val="3DF064DB"/>
    <w:rsid w:val="3DF16F67"/>
    <w:rsid w:val="3DF504B9"/>
    <w:rsid w:val="3DF5589F"/>
    <w:rsid w:val="3DF614A0"/>
    <w:rsid w:val="3DF66D78"/>
    <w:rsid w:val="3DFB09DB"/>
    <w:rsid w:val="3DFC4E77"/>
    <w:rsid w:val="3DFF0861"/>
    <w:rsid w:val="3DFF227A"/>
    <w:rsid w:val="3E003377"/>
    <w:rsid w:val="3E012496"/>
    <w:rsid w:val="3E067AAC"/>
    <w:rsid w:val="3E0B670B"/>
    <w:rsid w:val="3E0C2BE9"/>
    <w:rsid w:val="3E0E070F"/>
    <w:rsid w:val="3E151A9D"/>
    <w:rsid w:val="3E18158D"/>
    <w:rsid w:val="3E1B54E8"/>
    <w:rsid w:val="3E1C72D0"/>
    <w:rsid w:val="3E2148E6"/>
    <w:rsid w:val="3E222DB1"/>
    <w:rsid w:val="3E23065E"/>
    <w:rsid w:val="3E274779"/>
    <w:rsid w:val="3E2B46BB"/>
    <w:rsid w:val="3E2B7513"/>
    <w:rsid w:val="3E2C6DE7"/>
    <w:rsid w:val="3E2E0DB1"/>
    <w:rsid w:val="3E300685"/>
    <w:rsid w:val="3E304B29"/>
    <w:rsid w:val="3E3208A1"/>
    <w:rsid w:val="3E324277"/>
    <w:rsid w:val="3E352D7B"/>
    <w:rsid w:val="3E353EED"/>
    <w:rsid w:val="3E38578C"/>
    <w:rsid w:val="3E3A7756"/>
    <w:rsid w:val="3E3C34CE"/>
    <w:rsid w:val="3E3F2FBE"/>
    <w:rsid w:val="3E3F4D6C"/>
    <w:rsid w:val="3E4203B8"/>
    <w:rsid w:val="3E46434D"/>
    <w:rsid w:val="3E4660FB"/>
    <w:rsid w:val="3E467EA9"/>
    <w:rsid w:val="3E494656"/>
    <w:rsid w:val="3E497999"/>
    <w:rsid w:val="3E4F1453"/>
    <w:rsid w:val="3E500D27"/>
    <w:rsid w:val="3E50293B"/>
    <w:rsid w:val="3E532479"/>
    <w:rsid w:val="3E5663C6"/>
    <w:rsid w:val="3E587BDC"/>
    <w:rsid w:val="3E594080"/>
    <w:rsid w:val="3E5B2BC7"/>
    <w:rsid w:val="3E5D51F2"/>
    <w:rsid w:val="3E607478"/>
    <w:rsid w:val="3E620F30"/>
    <w:rsid w:val="3E657DC2"/>
    <w:rsid w:val="3E686071"/>
    <w:rsid w:val="3E691DE9"/>
    <w:rsid w:val="3E693B97"/>
    <w:rsid w:val="3E6B790F"/>
    <w:rsid w:val="3E6E11AD"/>
    <w:rsid w:val="3E6E73FF"/>
    <w:rsid w:val="3E7013C9"/>
    <w:rsid w:val="3E720C9E"/>
    <w:rsid w:val="3E721E5C"/>
    <w:rsid w:val="3E75253C"/>
    <w:rsid w:val="3E7762B4"/>
    <w:rsid w:val="3E7A3FF6"/>
    <w:rsid w:val="3E7A463F"/>
    <w:rsid w:val="3E7C6C03"/>
    <w:rsid w:val="3E7F33BB"/>
    <w:rsid w:val="3E8310FD"/>
    <w:rsid w:val="3E864749"/>
    <w:rsid w:val="3E8A248B"/>
    <w:rsid w:val="3E8D5AD7"/>
    <w:rsid w:val="3E90381A"/>
    <w:rsid w:val="3E925B12"/>
    <w:rsid w:val="3E950E30"/>
    <w:rsid w:val="3E95498C"/>
    <w:rsid w:val="3E990920"/>
    <w:rsid w:val="3E9A1FA2"/>
    <w:rsid w:val="3E9A6446"/>
    <w:rsid w:val="3E9C21BE"/>
    <w:rsid w:val="3E9D2293"/>
    <w:rsid w:val="3EA11583"/>
    <w:rsid w:val="3EA572C5"/>
    <w:rsid w:val="3EA80B63"/>
    <w:rsid w:val="3EAA48DB"/>
    <w:rsid w:val="3EB43064"/>
    <w:rsid w:val="3EB56DDC"/>
    <w:rsid w:val="3EB63280"/>
    <w:rsid w:val="3EBA2645"/>
    <w:rsid w:val="3EBE0387"/>
    <w:rsid w:val="3EC16618"/>
    <w:rsid w:val="3EC51715"/>
    <w:rsid w:val="3EC60FE9"/>
    <w:rsid w:val="3EC7548D"/>
    <w:rsid w:val="3EC82853"/>
    <w:rsid w:val="3EC86B10"/>
    <w:rsid w:val="3ECA0ADA"/>
    <w:rsid w:val="3ECB6600"/>
    <w:rsid w:val="3ECF60F0"/>
    <w:rsid w:val="3ED23E32"/>
    <w:rsid w:val="3ED25BE0"/>
    <w:rsid w:val="3ED31D4D"/>
    <w:rsid w:val="3ED71449"/>
    <w:rsid w:val="3EDC080D"/>
    <w:rsid w:val="3EDE4585"/>
    <w:rsid w:val="3EDF3E59"/>
    <w:rsid w:val="3EDF5A5F"/>
    <w:rsid w:val="3EE15E23"/>
    <w:rsid w:val="3EE31B9B"/>
    <w:rsid w:val="3EE53B65"/>
    <w:rsid w:val="3EE6343A"/>
    <w:rsid w:val="3EE85404"/>
    <w:rsid w:val="3EEB0A50"/>
    <w:rsid w:val="3EEB27FE"/>
    <w:rsid w:val="3EF43DA9"/>
    <w:rsid w:val="3EF47905"/>
    <w:rsid w:val="3EF70024"/>
    <w:rsid w:val="3EFB0FE0"/>
    <w:rsid w:val="3EFB5137"/>
    <w:rsid w:val="3EFD0EAF"/>
    <w:rsid w:val="3EFE3BE5"/>
    <w:rsid w:val="3EFE4C27"/>
    <w:rsid w:val="3EFF2DF8"/>
    <w:rsid w:val="3EFF59C5"/>
    <w:rsid w:val="3F0128C7"/>
    <w:rsid w:val="3F03223E"/>
    <w:rsid w:val="3F041198"/>
    <w:rsid w:val="3F087854"/>
    <w:rsid w:val="3F0A537A"/>
    <w:rsid w:val="3F0B2EA0"/>
    <w:rsid w:val="3F12480E"/>
    <w:rsid w:val="3F15211D"/>
    <w:rsid w:val="3F165ACD"/>
    <w:rsid w:val="3F171845"/>
    <w:rsid w:val="3F1B7587"/>
    <w:rsid w:val="3F1D32FF"/>
    <w:rsid w:val="3F1D4F4F"/>
    <w:rsid w:val="3F1F1B38"/>
    <w:rsid w:val="3F262A6F"/>
    <w:rsid w:val="3F281CA4"/>
    <w:rsid w:val="3F2A1578"/>
    <w:rsid w:val="3F2A77CA"/>
    <w:rsid w:val="3F2F6B8F"/>
    <w:rsid w:val="3F3146B5"/>
    <w:rsid w:val="3F32042D"/>
    <w:rsid w:val="3F3441A5"/>
    <w:rsid w:val="3F36616F"/>
    <w:rsid w:val="3F406FEE"/>
    <w:rsid w:val="3F407CAA"/>
    <w:rsid w:val="3F4168C2"/>
    <w:rsid w:val="3F446ADE"/>
    <w:rsid w:val="3F454604"/>
    <w:rsid w:val="3F47037C"/>
    <w:rsid w:val="3F485EA2"/>
    <w:rsid w:val="3F487C50"/>
    <w:rsid w:val="3F4C5993"/>
    <w:rsid w:val="3F4C7741"/>
    <w:rsid w:val="3F4E170B"/>
    <w:rsid w:val="3F50722A"/>
    <w:rsid w:val="3F516B05"/>
    <w:rsid w:val="3F530FA3"/>
    <w:rsid w:val="3F5605BF"/>
    <w:rsid w:val="3F5672FF"/>
    <w:rsid w:val="3F584337"/>
    <w:rsid w:val="3F60143E"/>
    <w:rsid w:val="3F6031EC"/>
    <w:rsid w:val="3F6046C3"/>
    <w:rsid w:val="3F634A8A"/>
    <w:rsid w:val="3F6371E4"/>
    <w:rsid w:val="3F645D9C"/>
    <w:rsid w:val="3F6525B0"/>
    <w:rsid w:val="3F65274D"/>
    <w:rsid w:val="3F6727CC"/>
    <w:rsid w:val="3F67457A"/>
    <w:rsid w:val="3F6A5E19"/>
    <w:rsid w:val="3F732F1F"/>
    <w:rsid w:val="3F7553DE"/>
    <w:rsid w:val="3F7B2A8C"/>
    <w:rsid w:val="3F7D78FA"/>
    <w:rsid w:val="3F7E18C4"/>
    <w:rsid w:val="3F827A5D"/>
    <w:rsid w:val="3F830EED"/>
    <w:rsid w:val="3F8844F1"/>
    <w:rsid w:val="3F89585D"/>
    <w:rsid w:val="3F8A64BB"/>
    <w:rsid w:val="3F8E1AF4"/>
    <w:rsid w:val="3F8E5FAB"/>
    <w:rsid w:val="3F8F587F"/>
    <w:rsid w:val="3F8F762D"/>
    <w:rsid w:val="3F9115F7"/>
    <w:rsid w:val="3F917849"/>
    <w:rsid w:val="3F977363"/>
    <w:rsid w:val="3F9904AC"/>
    <w:rsid w:val="3F9A4950"/>
    <w:rsid w:val="3F9B2476"/>
    <w:rsid w:val="3FA055C7"/>
    <w:rsid w:val="3FA255B3"/>
    <w:rsid w:val="3FA35235"/>
    <w:rsid w:val="3FA54560"/>
    <w:rsid w:val="3FA96941"/>
    <w:rsid w:val="3FAA4467"/>
    <w:rsid w:val="3FAE3EA9"/>
    <w:rsid w:val="3FAE3F57"/>
    <w:rsid w:val="3FAF1A7E"/>
    <w:rsid w:val="3FB10B8E"/>
    <w:rsid w:val="3FB11C9A"/>
    <w:rsid w:val="3FB13A48"/>
    <w:rsid w:val="3FB35A12"/>
    <w:rsid w:val="3FB47094"/>
    <w:rsid w:val="3FB8126D"/>
    <w:rsid w:val="3FB97136"/>
    <w:rsid w:val="3FBC63D7"/>
    <w:rsid w:val="3FBD063E"/>
    <w:rsid w:val="3FC01EDD"/>
    <w:rsid w:val="3FC32284"/>
    <w:rsid w:val="3FC419CD"/>
    <w:rsid w:val="3FCB2B69"/>
    <w:rsid w:val="3FCB2D5B"/>
    <w:rsid w:val="3FCC262F"/>
    <w:rsid w:val="3FCD2063"/>
    <w:rsid w:val="3FCF4923"/>
    <w:rsid w:val="3FD17C46"/>
    <w:rsid w:val="3FD37E62"/>
    <w:rsid w:val="3FD61C25"/>
    <w:rsid w:val="3FD634AE"/>
    <w:rsid w:val="3FD7172D"/>
    <w:rsid w:val="3FDB0AC5"/>
    <w:rsid w:val="3FDE447A"/>
    <w:rsid w:val="3FDF6807"/>
    <w:rsid w:val="3FE20765"/>
    <w:rsid w:val="3FE21E53"/>
    <w:rsid w:val="3FE71217"/>
    <w:rsid w:val="3FE8413D"/>
    <w:rsid w:val="3FE931E1"/>
    <w:rsid w:val="3FEA0D08"/>
    <w:rsid w:val="3FEB6D63"/>
    <w:rsid w:val="3FEC558C"/>
    <w:rsid w:val="3FED5A8B"/>
    <w:rsid w:val="3FF322B2"/>
    <w:rsid w:val="3FF43934"/>
    <w:rsid w:val="3FF676AC"/>
    <w:rsid w:val="3FFA53EF"/>
    <w:rsid w:val="3FFA719D"/>
    <w:rsid w:val="3FFB4CC3"/>
    <w:rsid w:val="3FFC24DE"/>
    <w:rsid w:val="3FFD4490"/>
    <w:rsid w:val="3FFD4EDF"/>
    <w:rsid w:val="400224F5"/>
    <w:rsid w:val="40026051"/>
    <w:rsid w:val="40095632"/>
    <w:rsid w:val="400A73D4"/>
    <w:rsid w:val="400B13AA"/>
    <w:rsid w:val="400C0C7E"/>
    <w:rsid w:val="400E2C48"/>
    <w:rsid w:val="401069C0"/>
    <w:rsid w:val="401146D6"/>
    <w:rsid w:val="4012098A"/>
    <w:rsid w:val="40152228"/>
    <w:rsid w:val="40161AFD"/>
    <w:rsid w:val="401B4C09"/>
    <w:rsid w:val="401C5365"/>
    <w:rsid w:val="40210BCD"/>
    <w:rsid w:val="40267F92"/>
    <w:rsid w:val="40297A82"/>
    <w:rsid w:val="402B37FA"/>
    <w:rsid w:val="402D7572"/>
    <w:rsid w:val="402E32EA"/>
    <w:rsid w:val="402E6E46"/>
    <w:rsid w:val="402E7F0F"/>
    <w:rsid w:val="4033445D"/>
    <w:rsid w:val="40381A73"/>
    <w:rsid w:val="40387CC5"/>
    <w:rsid w:val="40397405"/>
    <w:rsid w:val="403D2262"/>
    <w:rsid w:val="403D352D"/>
    <w:rsid w:val="403E4E33"/>
    <w:rsid w:val="403F1053"/>
    <w:rsid w:val="40400538"/>
    <w:rsid w:val="404228F2"/>
    <w:rsid w:val="40460634"/>
    <w:rsid w:val="40477F08"/>
    <w:rsid w:val="404E1296"/>
    <w:rsid w:val="404E7F92"/>
    <w:rsid w:val="40534AFF"/>
    <w:rsid w:val="405431EE"/>
    <w:rsid w:val="40547059"/>
    <w:rsid w:val="40550877"/>
    <w:rsid w:val="405A34BE"/>
    <w:rsid w:val="405C0C1E"/>
    <w:rsid w:val="405D772B"/>
    <w:rsid w:val="4061546E"/>
    <w:rsid w:val="40642868"/>
    <w:rsid w:val="40646B4E"/>
    <w:rsid w:val="40646D0C"/>
    <w:rsid w:val="40650AB8"/>
    <w:rsid w:val="40657D71"/>
    <w:rsid w:val="40662A84"/>
    <w:rsid w:val="40672358"/>
    <w:rsid w:val="40692574"/>
    <w:rsid w:val="406B009A"/>
    <w:rsid w:val="406D2075"/>
    <w:rsid w:val="407351B3"/>
    <w:rsid w:val="407707ED"/>
    <w:rsid w:val="4077259B"/>
    <w:rsid w:val="40774C91"/>
    <w:rsid w:val="40784565"/>
    <w:rsid w:val="407B7E75"/>
    <w:rsid w:val="407C22A8"/>
    <w:rsid w:val="407D392A"/>
    <w:rsid w:val="407E5D49"/>
    <w:rsid w:val="407F58F4"/>
    <w:rsid w:val="408178BE"/>
    <w:rsid w:val="4082652B"/>
    <w:rsid w:val="40833636"/>
    <w:rsid w:val="408353E4"/>
    <w:rsid w:val="40861EE8"/>
    <w:rsid w:val="408F1B0A"/>
    <w:rsid w:val="40907B01"/>
    <w:rsid w:val="409475F1"/>
    <w:rsid w:val="409A44DC"/>
    <w:rsid w:val="409C30B9"/>
    <w:rsid w:val="409E221E"/>
    <w:rsid w:val="409F7D44"/>
    <w:rsid w:val="40A27F80"/>
    <w:rsid w:val="40A47108"/>
    <w:rsid w:val="40A67324"/>
    <w:rsid w:val="40A73A11"/>
    <w:rsid w:val="40A86016"/>
    <w:rsid w:val="40AB493B"/>
    <w:rsid w:val="40B117A2"/>
    <w:rsid w:val="40B530C4"/>
    <w:rsid w:val="40B57568"/>
    <w:rsid w:val="40B82BB4"/>
    <w:rsid w:val="40BE01CA"/>
    <w:rsid w:val="40BE641C"/>
    <w:rsid w:val="40C14999"/>
    <w:rsid w:val="40C15F0C"/>
    <w:rsid w:val="40C17CBA"/>
    <w:rsid w:val="40C41559"/>
    <w:rsid w:val="40C41E8A"/>
    <w:rsid w:val="40CA3013"/>
    <w:rsid w:val="40CD24B8"/>
    <w:rsid w:val="40D23C76"/>
    <w:rsid w:val="40D45C40"/>
    <w:rsid w:val="40D479EE"/>
    <w:rsid w:val="40D50F73"/>
    <w:rsid w:val="40D53766"/>
    <w:rsid w:val="40D914A8"/>
    <w:rsid w:val="40DA6C81"/>
    <w:rsid w:val="40E02836"/>
    <w:rsid w:val="40E340D5"/>
    <w:rsid w:val="40E5275E"/>
    <w:rsid w:val="40E650AF"/>
    <w:rsid w:val="40E65973"/>
    <w:rsid w:val="40E765BD"/>
    <w:rsid w:val="40E816EB"/>
    <w:rsid w:val="40E85247"/>
    <w:rsid w:val="40EB4D37"/>
    <w:rsid w:val="40EB5D96"/>
    <w:rsid w:val="40F40090"/>
    <w:rsid w:val="40F462E2"/>
    <w:rsid w:val="40F81FCF"/>
    <w:rsid w:val="40F956A6"/>
    <w:rsid w:val="40FA31CC"/>
    <w:rsid w:val="40FC5196"/>
    <w:rsid w:val="41067DC3"/>
    <w:rsid w:val="410938E0"/>
    <w:rsid w:val="410B461F"/>
    <w:rsid w:val="410C362B"/>
    <w:rsid w:val="410D4CAE"/>
    <w:rsid w:val="410D6E30"/>
    <w:rsid w:val="410E46E1"/>
    <w:rsid w:val="410E6D58"/>
    <w:rsid w:val="410F0A26"/>
    <w:rsid w:val="410F4ECA"/>
    <w:rsid w:val="410F6C78"/>
    <w:rsid w:val="4110479E"/>
    <w:rsid w:val="41110C42"/>
    <w:rsid w:val="411249BA"/>
    <w:rsid w:val="41126768"/>
    <w:rsid w:val="41151DB4"/>
    <w:rsid w:val="41171C88"/>
    <w:rsid w:val="41171FD0"/>
    <w:rsid w:val="411A73CB"/>
    <w:rsid w:val="411B386E"/>
    <w:rsid w:val="411B561D"/>
    <w:rsid w:val="411E335F"/>
    <w:rsid w:val="411E510D"/>
    <w:rsid w:val="412070D7"/>
    <w:rsid w:val="412113E7"/>
    <w:rsid w:val="412344D1"/>
    <w:rsid w:val="41270BD1"/>
    <w:rsid w:val="412A3BBD"/>
    <w:rsid w:val="412C5A7C"/>
    <w:rsid w:val="412D35A2"/>
    <w:rsid w:val="41326E0A"/>
    <w:rsid w:val="413527CD"/>
    <w:rsid w:val="4136184C"/>
    <w:rsid w:val="413621AC"/>
    <w:rsid w:val="41377F7D"/>
    <w:rsid w:val="41390199"/>
    <w:rsid w:val="41392182"/>
    <w:rsid w:val="41393CF5"/>
    <w:rsid w:val="41395AA3"/>
    <w:rsid w:val="413B181B"/>
    <w:rsid w:val="413B5CBF"/>
    <w:rsid w:val="41412351"/>
    <w:rsid w:val="41421F45"/>
    <w:rsid w:val="41434B73"/>
    <w:rsid w:val="414508EB"/>
    <w:rsid w:val="41463E5A"/>
    <w:rsid w:val="41466412"/>
    <w:rsid w:val="414803DC"/>
    <w:rsid w:val="41483F38"/>
    <w:rsid w:val="41487860"/>
    <w:rsid w:val="414A4154"/>
    <w:rsid w:val="414A7CB0"/>
    <w:rsid w:val="414B62A2"/>
    <w:rsid w:val="414C3A28"/>
    <w:rsid w:val="414C5B13"/>
    <w:rsid w:val="414D0551"/>
    <w:rsid w:val="414E6719"/>
    <w:rsid w:val="4153283E"/>
    <w:rsid w:val="415840B6"/>
    <w:rsid w:val="41586871"/>
    <w:rsid w:val="4159263F"/>
    <w:rsid w:val="415B1EBD"/>
    <w:rsid w:val="415B3C6B"/>
    <w:rsid w:val="415D3E87"/>
    <w:rsid w:val="415D5C35"/>
    <w:rsid w:val="41662610"/>
    <w:rsid w:val="41673852"/>
    <w:rsid w:val="4168282C"/>
    <w:rsid w:val="41686388"/>
    <w:rsid w:val="416C40CA"/>
    <w:rsid w:val="416C5E78"/>
    <w:rsid w:val="416D4D8C"/>
    <w:rsid w:val="416E7A1D"/>
    <w:rsid w:val="416E7E42"/>
    <w:rsid w:val="4171348E"/>
    <w:rsid w:val="41764F49"/>
    <w:rsid w:val="41766CF7"/>
    <w:rsid w:val="41770ACF"/>
    <w:rsid w:val="41780CC1"/>
    <w:rsid w:val="417967E7"/>
    <w:rsid w:val="417A46D4"/>
    <w:rsid w:val="417B430D"/>
    <w:rsid w:val="417D6090"/>
    <w:rsid w:val="417D62D7"/>
    <w:rsid w:val="417F2E60"/>
    <w:rsid w:val="418132C2"/>
    <w:rsid w:val="41831414"/>
    <w:rsid w:val="418331C2"/>
    <w:rsid w:val="41847666"/>
    <w:rsid w:val="41850CE8"/>
    <w:rsid w:val="41856F3A"/>
    <w:rsid w:val="418C651A"/>
    <w:rsid w:val="418C6763"/>
    <w:rsid w:val="418F1B67"/>
    <w:rsid w:val="418F600A"/>
    <w:rsid w:val="418F69C2"/>
    <w:rsid w:val="41904DF6"/>
    <w:rsid w:val="41913B31"/>
    <w:rsid w:val="4193231A"/>
    <w:rsid w:val="419345E1"/>
    <w:rsid w:val="419378A9"/>
    <w:rsid w:val="41940CDA"/>
    <w:rsid w:val="41943621"/>
    <w:rsid w:val="4194717D"/>
    <w:rsid w:val="41961147"/>
    <w:rsid w:val="41967399"/>
    <w:rsid w:val="419923BD"/>
    <w:rsid w:val="419B49AF"/>
    <w:rsid w:val="419D4283"/>
    <w:rsid w:val="419E624E"/>
    <w:rsid w:val="41A01FC6"/>
    <w:rsid w:val="41A03D74"/>
    <w:rsid w:val="41A2189A"/>
    <w:rsid w:val="41A82C28"/>
    <w:rsid w:val="41AA2509"/>
    <w:rsid w:val="41AC44C7"/>
    <w:rsid w:val="41AF045B"/>
    <w:rsid w:val="41AF2209"/>
    <w:rsid w:val="41B13830"/>
    <w:rsid w:val="41B16EBC"/>
    <w:rsid w:val="41B33AA7"/>
    <w:rsid w:val="41B45A71"/>
    <w:rsid w:val="41B617E9"/>
    <w:rsid w:val="41B64AD1"/>
    <w:rsid w:val="41B65345"/>
    <w:rsid w:val="41BA318B"/>
    <w:rsid w:val="41BB48E2"/>
    <w:rsid w:val="41BB6E00"/>
    <w:rsid w:val="41BD66D4"/>
    <w:rsid w:val="41C04416"/>
    <w:rsid w:val="41C72E85"/>
    <w:rsid w:val="41C932CA"/>
    <w:rsid w:val="41C95079"/>
    <w:rsid w:val="41CE0D22"/>
    <w:rsid w:val="41CF0BCF"/>
    <w:rsid w:val="41D13F2D"/>
    <w:rsid w:val="41D427C4"/>
    <w:rsid w:val="41D43A1D"/>
    <w:rsid w:val="41DA54D8"/>
    <w:rsid w:val="41DE664A"/>
    <w:rsid w:val="41E04248"/>
    <w:rsid w:val="41E2438C"/>
    <w:rsid w:val="41E54C3B"/>
    <w:rsid w:val="41E55C2A"/>
    <w:rsid w:val="41E579D9"/>
    <w:rsid w:val="41E77BF5"/>
    <w:rsid w:val="41EA1493"/>
    <w:rsid w:val="41EA3241"/>
    <w:rsid w:val="41EC0D67"/>
    <w:rsid w:val="41EE4ADF"/>
    <w:rsid w:val="41F10CC3"/>
    <w:rsid w:val="41F12821"/>
    <w:rsid w:val="41F145CF"/>
    <w:rsid w:val="41F30347"/>
    <w:rsid w:val="41FF6CEC"/>
    <w:rsid w:val="42004812"/>
    <w:rsid w:val="42027AB1"/>
    <w:rsid w:val="42042555"/>
    <w:rsid w:val="42042CCA"/>
    <w:rsid w:val="420A6671"/>
    <w:rsid w:val="420C1409"/>
    <w:rsid w:val="420C5560"/>
    <w:rsid w:val="420C765B"/>
    <w:rsid w:val="420E5181"/>
    <w:rsid w:val="420E6F2F"/>
    <w:rsid w:val="420F2CA7"/>
    <w:rsid w:val="421039F2"/>
    <w:rsid w:val="421054D2"/>
    <w:rsid w:val="42114C71"/>
    <w:rsid w:val="42177E0D"/>
    <w:rsid w:val="42181B5C"/>
    <w:rsid w:val="42184FDA"/>
    <w:rsid w:val="4219272D"/>
    <w:rsid w:val="421D3616"/>
    <w:rsid w:val="421D7172"/>
    <w:rsid w:val="42204EB5"/>
    <w:rsid w:val="42246753"/>
    <w:rsid w:val="42254279"/>
    <w:rsid w:val="422624CB"/>
    <w:rsid w:val="42277FF1"/>
    <w:rsid w:val="422A188F"/>
    <w:rsid w:val="422B5D33"/>
    <w:rsid w:val="422C5607"/>
    <w:rsid w:val="423020F5"/>
    <w:rsid w:val="423038EE"/>
    <w:rsid w:val="42332E3A"/>
    <w:rsid w:val="42334BE8"/>
    <w:rsid w:val="42366486"/>
    <w:rsid w:val="423A41C8"/>
    <w:rsid w:val="423A5F76"/>
    <w:rsid w:val="423E4B5F"/>
    <w:rsid w:val="423F533B"/>
    <w:rsid w:val="424010B3"/>
    <w:rsid w:val="42440BA3"/>
    <w:rsid w:val="42446DF5"/>
    <w:rsid w:val="42462B6D"/>
    <w:rsid w:val="424741EF"/>
    <w:rsid w:val="4249440B"/>
    <w:rsid w:val="424B3CDF"/>
    <w:rsid w:val="424E1A22"/>
    <w:rsid w:val="424E37D0"/>
    <w:rsid w:val="42542F76"/>
    <w:rsid w:val="4255690C"/>
    <w:rsid w:val="425616E7"/>
    <w:rsid w:val="42562684"/>
    <w:rsid w:val="42576B28"/>
    <w:rsid w:val="425F59DD"/>
    <w:rsid w:val="425F778B"/>
    <w:rsid w:val="42611755"/>
    <w:rsid w:val="42660B19"/>
    <w:rsid w:val="42664FBD"/>
    <w:rsid w:val="426B6130"/>
    <w:rsid w:val="426D634C"/>
    <w:rsid w:val="4278084D"/>
    <w:rsid w:val="42786A9F"/>
    <w:rsid w:val="42797CB7"/>
    <w:rsid w:val="427A320B"/>
    <w:rsid w:val="427B20EB"/>
    <w:rsid w:val="427C033D"/>
    <w:rsid w:val="427D40B5"/>
    <w:rsid w:val="427D5E63"/>
    <w:rsid w:val="427E0907"/>
    <w:rsid w:val="427E2307"/>
    <w:rsid w:val="427F1BDB"/>
    <w:rsid w:val="42812A86"/>
    <w:rsid w:val="42817701"/>
    <w:rsid w:val="42823479"/>
    <w:rsid w:val="42864D18"/>
    <w:rsid w:val="428E62C2"/>
    <w:rsid w:val="4290203A"/>
    <w:rsid w:val="42935686"/>
    <w:rsid w:val="42980EEF"/>
    <w:rsid w:val="42982C9D"/>
    <w:rsid w:val="42990FD6"/>
    <w:rsid w:val="429A4C67"/>
    <w:rsid w:val="429F227D"/>
    <w:rsid w:val="429F4D5E"/>
    <w:rsid w:val="42A17DA3"/>
    <w:rsid w:val="42A26021"/>
    <w:rsid w:val="42A33B1C"/>
    <w:rsid w:val="42A87384"/>
    <w:rsid w:val="42AB0C22"/>
    <w:rsid w:val="42B15B0D"/>
    <w:rsid w:val="42B21F0C"/>
    <w:rsid w:val="42B21FB1"/>
    <w:rsid w:val="42B56350"/>
    <w:rsid w:val="42B67BE9"/>
    <w:rsid w:val="42B775C7"/>
    <w:rsid w:val="42B850ED"/>
    <w:rsid w:val="42B86E9B"/>
    <w:rsid w:val="42BA4E8C"/>
    <w:rsid w:val="42C121F4"/>
    <w:rsid w:val="42C35F6C"/>
    <w:rsid w:val="42C45840"/>
    <w:rsid w:val="42C52AB7"/>
    <w:rsid w:val="42C817D4"/>
    <w:rsid w:val="42C910A8"/>
    <w:rsid w:val="42CB7EE2"/>
    <w:rsid w:val="42CD2946"/>
    <w:rsid w:val="42D068DB"/>
    <w:rsid w:val="42D31F27"/>
    <w:rsid w:val="42D53EF1"/>
    <w:rsid w:val="42D9753D"/>
    <w:rsid w:val="42DA7C71"/>
    <w:rsid w:val="42DB79D7"/>
    <w:rsid w:val="42DD6902"/>
    <w:rsid w:val="42DF08CC"/>
    <w:rsid w:val="42E14644"/>
    <w:rsid w:val="42E2191B"/>
    <w:rsid w:val="42E303BC"/>
    <w:rsid w:val="42E317B5"/>
    <w:rsid w:val="42E44134"/>
    <w:rsid w:val="42E47C90"/>
    <w:rsid w:val="42E67EAC"/>
    <w:rsid w:val="42E83C24"/>
    <w:rsid w:val="42E934F8"/>
    <w:rsid w:val="42EA5FD9"/>
    <w:rsid w:val="42ED123B"/>
    <w:rsid w:val="42EE0B0F"/>
    <w:rsid w:val="42F00D2B"/>
    <w:rsid w:val="42F06635"/>
    <w:rsid w:val="42F425C9"/>
    <w:rsid w:val="42F51E9D"/>
    <w:rsid w:val="42F97BDF"/>
    <w:rsid w:val="42FB00D5"/>
    <w:rsid w:val="43030A5E"/>
    <w:rsid w:val="43040332"/>
    <w:rsid w:val="43056584"/>
    <w:rsid w:val="43065E58"/>
    <w:rsid w:val="43081BD1"/>
    <w:rsid w:val="43087E22"/>
    <w:rsid w:val="430D368B"/>
    <w:rsid w:val="43100A85"/>
    <w:rsid w:val="43104C13"/>
    <w:rsid w:val="43120CA1"/>
    <w:rsid w:val="431517D8"/>
    <w:rsid w:val="43170066"/>
    <w:rsid w:val="43193DDE"/>
    <w:rsid w:val="43195B8C"/>
    <w:rsid w:val="431A42C3"/>
    <w:rsid w:val="431C38CE"/>
    <w:rsid w:val="431F5794"/>
    <w:rsid w:val="432033BE"/>
    <w:rsid w:val="4320516C"/>
    <w:rsid w:val="43252782"/>
    <w:rsid w:val="4326474D"/>
    <w:rsid w:val="43284021"/>
    <w:rsid w:val="43292916"/>
    <w:rsid w:val="432C4C0D"/>
    <w:rsid w:val="432C5504"/>
    <w:rsid w:val="432D7889"/>
    <w:rsid w:val="432F1853"/>
    <w:rsid w:val="432F3601"/>
    <w:rsid w:val="43302ED5"/>
    <w:rsid w:val="4330662F"/>
    <w:rsid w:val="433504EC"/>
    <w:rsid w:val="43364990"/>
    <w:rsid w:val="43365770"/>
    <w:rsid w:val="43386B55"/>
    <w:rsid w:val="433B01F8"/>
    <w:rsid w:val="433C41A2"/>
    <w:rsid w:val="433E0ADE"/>
    <w:rsid w:val="433F136A"/>
    <w:rsid w:val="434500D6"/>
    <w:rsid w:val="43454BD3"/>
    <w:rsid w:val="43456981"/>
    <w:rsid w:val="43476B9D"/>
    <w:rsid w:val="43482809"/>
    <w:rsid w:val="43486471"/>
    <w:rsid w:val="434A3F97"/>
    <w:rsid w:val="434C41B3"/>
    <w:rsid w:val="434D1CD9"/>
    <w:rsid w:val="434D3A87"/>
    <w:rsid w:val="43525542"/>
    <w:rsid w:val="43572B58"/>
    <w:rsid w:val="4359242C"/>
    <w:rsid w:val="435968D0"/>
    <w:rsid w:val="435B61A4"/>
    <w:rsid w:val="43601A0D"/>
    <w:rsid w:val="43615785"/>
    <w:rsid w:val="43635059"/>
    <w:rsid w:val="43650DD1"/>
    <w:rsid w:val="43671FE0"/>
    <w:rsid w:val="4368266F"/>
    <w:rsid w:val="43727FC7"/>
    <w:rsid w:val="4378667D"/>
    <w:rsid w:val="43790D20"/>
    <w:rsid w:val="43794BD1"/>
    <w:rsid w:val="437A0900"/>
    <w:rsid w:val="437C436D"/>
    <w:rsid w:val="437C437E"/>
    <w:rsid w:val="437E00E5"/>
    <w:rsid w:val="43805C0B"/>
    <w:rsid w:val="438356FB"/>
    <w:rsid w:val="43866F99"/>
    <w:rsid w:val="4389537A"/>
    <w:rsid w:val="438F5E4E"/>
    <w:rsid w:val="439006C3"/>
    <w:rsid w:val="4392593E"/>
    <w:rsid w:val="43934B60"/>
    <w:rsid w:val="439518B3"/>
    <w:rsid w:val="439C056B"/>
    <w:rsid w:val="43A3416B"/>
    <w:rsid w:val="43A35D9D"/>
    <w:rsid w:val="43A63197"/>
    <w:rsid w:val="43AE09CA"/>
    <w:rsid w:val="43AF029E"/>
    <w:rsid w:val="43B104BA"/>
    <w:rsid w:val="43B14016"/>
    <w:rsid w:val="43B27D8E"/>
    <w:rsid w:val="43B6162D"/>
    <w:rsid w:val="43B65AD0"/>
    <w:rsid w:val="43B81849"/>
    <w:rsid w:val="43B90147"/>
    <w:rsid w:val="43B9111D"/>
    <w:rsid w:val="43BB4FE2"/>
    <w:rsid w:val="43C006FD"/>
    <w:rsid w:val="43C27FD1"/>
    <w:rsid w:val="43C31F9B"/>
    <w:rsid w:val="43C55D14"/>
    <w:rsid w:val="43C57AC2"/>
    <w:rsid w:val="43CC0A81"/>
    <w:rsid w:val="43CC0E50"/>
    <w:rsid w:val="43CD4BC8"/>
    <w:rsid w:val="43CD6976"/>
    <w:rsid w:val="43CE2E1A"/>
    <w:rsid w:val="43CF6B92"/>
    <w:rsid w:val="43D83C99"/>
    <w:rsid w:val="43D85A47"/>
    <w:rsid w:val="43D917BF"/>
    <w:rsid w:val="43DD4145"/>
    <w:rsid w:val="43DD4E0B"/>
    <w:rsid w:val="43DE2931"/>
    <w:rsid w:val="43DF5027"/>
    <w:rsid w:val="43E20674"/>
    <w:rsid w:val="43E53CC0"/>
    <w:rsid w:val="43E77A38"/>
    <w:rsid w:val="43E81149"/>
    <w:rsid w:val="43E91A02"/>
    <w:rsid w:val="43EA7D0D"/>
    <w:rsid w:val="43EC14F2"/>
    <w:rsid w:val="43EC32A0"/>
    <w:rsid w:val="43F6265D"/>
    <w:rsid w:val="43F65ECD"/>
    <w:rsid w:val="43FC40A1"/>
    <w:rsid w:val="43FD725B"/>
    <w:rsid w:val="43FE2FD4"/>
    <w:rsid w:val="43FE4D82"/>
    <w:rsid w:val="43FF1225"/>
    <w:rsid w:val="44000AFA"/>
    <w:rsid w:val="440700DA"/>
    <w:rsid w:val="44076CE8"/>
    <w:rsid w:val="44086C26"/>
    <w:rsid w:val="440920A4"/>
    <w:rsid w:val="44093E52"/>
    <w:rsid w:val="44103433"/>
    <w:rsid w:val="44112D07"/>
    <w:rsid w:val="441647C1"/>
    <w:rsid w:val="4416656F"/>
    <w:rsid w:val="441822E7"/>
    <w:rsid w:val="441F4A5B"/>
    <w:rsid w:val="442347E8"/>
    <w:rsid w:val="442944F4"/>
    <w:rsid w:val="442E1B0B"/>
    <w:rsid w:val="442E38B9"/>
    <w:rsid w:val="44305883"/>
    <w:rsid w:val="44330ECF"/>
    <w:rsid w:val="44334A09"/>
    <w:rsid w:val="443469F5"/>
    <w:rsid w:val="443609BF"/>
    <w:rsid w:val="443A04B0"/>
    <w:rsid w:val="443B00CA"/>
    <w:rsid w:val="443B5FD6"/>
    <w:rsid w:val="443C4228"/>
    <w:rsid w:val="443E13C9"/>
    <w:rsid w:val="444430DC"/>
    <w:rsid w:val="44450C02"/>
    <w:rsid w:val="44466E54"/>
    <w:rsid w:val="444A4C49"/>
    <w:rsid w:val="444B414F"/>
    <w:rsid w:val="444F4C93"/>
    <w:rsid w:val="44511355"/>
    <w:rsid w:val="445350CD"/>
    <w:rsid w:val="4456696C"/>
    <w:rsid w:val="445A645C"/>
    <w:rsid w:val="445B21D4"/>
    <w:rsid w:val="44634FFF"/>
    <w:rsid w:val="446472DA"/>
    <w:rsid w:val="446659F8"/>
    <w:rsid w:val="44670B79"/>
    <w:rsid w:val="44676DCB"/>
    <w:rsid w:val="4470761E"/>
    <w:rsid w:val="44707DED"/>
    <w:rsid w:val="44716B9D"/>
    <w:rsid w:val="4473751E"/>
    <w:rsid w:val="44760DBC"/>
    <w:rsid w:val="44782D86"/>
    <w:rsid w:val="447A08AC"/>
    <w:rsid w:val="447D22C8"/>
    <w:rsid w:val="448160DE"/>
    <w:rsid w:val="448636F5"/>
    <w:rsid w:val="44872FC9"/>
    <w:rsid w:val="44896D41"/>
    <w:rsid w:val="448B4867"/>
    <w:rsid w:val="448B5A70"/>
    <w:rsid w:val="448D75C0"/>
    <w:rsid w:val="448E6105"/>
    <w:rsid w:val="44951FFA"/>
    <w:rsid w:val="44986E8D"/>
    <w:rsid w:val="449C6A74"/>
    <w:rsid w:val="44A061E4"/>
    <w:rsid w:val="44A43B7B"/>
    <w:rsid w:val="44A771C7"/>
    <w:rsid w:val="44A8366B"/>
    <w:rsid w:val="44AA2982"/>
    <w:rsid w:val="44AB4F09"/>
    <w:rsid w:val="44AC2A30"/>
    <w:rsid w:val="44B10046"/>
    <w:rsid w:val="44B33DBE"/>
    <w:rsid w:val="44B738AE"/>
    <w:rsid w:val="44BC0EC5"/>
    <w:rsid w:val="44BC2C73"/>
    <w:rsid w:val="44BF2763"/>
    <w:rsid w:val="44C10289"/>
    <w:rsid w:val="44C164DB"/>
    <w:rsid w:val="44C22253"/>
    <w:rsid w:val="44C409AF"/>
    <w:rsid w:val="44C4421D"/>
    <w:rsid w:val="44C63AF1"/>
    <w:rsid w:val="44C71617"/>
    <w:rsid w:val="44CB6471"/>
    <w:rsid w:val="44CD1324"/>
    <w:rsid w:val="44D426B2"/>
    <w:rsid w:val="44D501D8"/>
    <w:rsid w:val="44D70159"/>
    <w:rsid w:val="44DC3315"/>
    <w:rsid w:val="44DE708D"/>
    <w:rsid w:val="44DF1057"/>
    <w:rsid w:val="44DF4BB3"/>
    <w:rsid w:val="44E1092B"/>
    <w:rsid w:val="44E26451"/>
    <w:rsid w:val="44E4286C"/>
    <w:rsid w:val="44E4666D"/>
    <w:rsid w:val="44E7583F"/>
    <w:rsid w:val="44EF3FD1"/>
    <w:rsid w:val="44F00032"/>
    <w:rsid w:val="44F512D3"/>
    <w:rsid w:val="44F92119"/>
    <w:rsid w:val="44FD328B"/>
    <w:rsid w:val="44FE14DD"/>
    <w:rsid w:val="44FF34A7"/>
    <w:rsid w:val="45010FCD"/>
    <w:rsid w:val="45012D7B"/>
    <w:rsid w:val="45014B29"/>
    <w:rsid w:val="4504471C"/>
    <w:rsid w:val="450665E4"/>
    <w:rsid w:val="4508235C"/>
    <w:rsid w:val="45091C30"/>
    <w:rsid w:val="450E2264"/>
    <w:rsid w:val="450E5498"/>
    <w:rsid w:val="45101210"/>
    <w:rsid w:val="45102FBE"/>
    <w:rsid w:val="45132AAF"/>
    <w:rsid w:val="45140D01"/>
    <w:rsid w:val="451516AF"/>
    <w:rsid w:val="45156827"/>
    <w:rsid w:val="451948C0"/>
    <w:rsid w:val="451C4154"/>
    <w:rsid w:val="451C5255"/>
    <w:rsid w:val="451C5BBF"/>
    <w:rsid w:val="451C7BB5"/>
    <w:rsid w:val="451F76A5"/>
    <w:rsid w:val="45230F44"/>
    <w:rsid w:val="45246A6A"/>
    <w:rsid w:val="45260A34"/>
    <w:rsid w:val="45263750"/>
    <w:rsid w:val="452847AC"/>
    <w:rsid w:val="452B7DF8"/>
    <w:rsid w:val="45303661"/>
    <w:rsid w:val="45350C77"/>
    <w:rsid w:val="45372C41"/>
    <w:rsid w:val="4537679D"/>
    <w:rsid w:val="45383E60"/>
    <w:rsid w:val="45390767"/>
    <w:rsid w:val="453942C3"/>
    <w:rsid w:val="453A003B"/>
    <w:rsid w:val="453A628D"/>
    <w:rsid w:val="453C0257"/>
    <w:rsid w:val="453E3FCF"/>
    <w:rsid w:val="453F38A4"/>
    <w:rsid w:val="45440EBA"/>
    <w:rsid w:val="45442C68"/>
    <w:rsid w:val="45486BFC"/>
    <w:rsid w:val="454964D0"/>
    <w:rsid w:val="454B049A"/>
    <w:rsid w:val="454D293E"/>
    <w:rsid w:val="45521829"/>
    <w:rsid w:val="4555317F"/>
    <w:rsid w:val="455B2EFF"/>
    <w:rsid w:val="455E01CE"/>
    <w:rsid w:val="456019B7"/>
    <w:rsid w:val="45603F46"/>
    <w:rsid w:val="45605CF4"/>
    <w:rsid w:val="4561381A"/>
    <w:rsid w:val="4567448A"/>
    <w:rsid w:val="456B6447"/>
    <w:rsid w:val="45723C79"/>
    <w:rsid w:val="4574179F"/>
    <w:rsid w:val="45783CBB"/>
    <w:rsid w:val="45791C6C"/>
    <w:rsid w:val="457C0654"/>
    <w:rsid w:val="457F63EC"/>
    <w:rsid w:val="45886FF9"/>
    <w:rsid w:val="458A0FC3"/>
    <w:rsid w:val="458A34FF"/>
    <w:rsid w:val="458A4B1F"/>
    <w:rsid w:val="458B6AE9"/>
    <w:rsid w:val="458D0AB3"/>
    <w:rsid w:val="4594599D"/>
    <w:rsid w:val="45974ABD"/>
    <w:rsid w:val="459A5BC5"/>
    <w:rsid w:val="459C0CF6"/>
    <w:rsid w:val="459E05CA"/>
    <w:rsid w:val="459F4E84"/>
    <w:rsid w:val="45A007E6"/>
    <w:rsid w:val="45A100BA"/>
    <w:rsid w:val="45A51959"/>
    <w:rsid w:val="45A57BAB"/>
    <w:rsid w:val="45A73388"/>
    <w:rsid w:val="45AA6F6F"/>
    <w:rsid w:val="45AB2CE7"/>
    <w:rsid w:val="45AB7567"/>
    <w:rsid w:val="45AD4CB1"/>
    <w:rsid w:val="45B002FD"/>
    <w:rsid w:val="45B20519"/>
    <w:rsid w:val="45B33B9B"/>
    <w:rsid w:val="45B47DEE"/>
    <w:rsid w:val="45B55914"/>
    <w:rsid w:val="45B7168C"/>
    <w:rsid w:val="45B75C70"/>
    <w:rsid w:val="45BB73CE"/>
    <w:rsid w:val="45BD3146"/>
    <w:rsid w:val="45C81AEB"/>
    <w:rsid w:val="45CA7611"/>
    <w:rsid w:val="45CC3389"/>
    <w:rsid w:val="45CE5353"/>
    <w:rsid w:val="45D05F89"/>
    <w:rsid w:val="45D264C6"/>
    <w:rsid w:val="45D40490"/>
    <w:rsid w:val="45DB35CC"/>
    <w:rsid w:val="45DC4237"/>
    <w:rsid w:val="45DE130F"/>
    <w:rsid w:val="45DE30BD"/>
    <w:rsid w:val="45E00BE3"/>
    <w:rsid w:val="45E2495B"/>
    <w:rsid w:val="45E306D3"/>
    <w:rsid w:val="45E36925"/>
    <w:rsid w:val="45E5444B"/>
    <w:rsid w:val="45E67EBA"/>
    <w:rsid w:val="45E701C3"/>
    <w:rsid w:val="45E83F3B"/>
    <w:rsid w:val="45EA4DEC"/>
    <w:rsid w:val="45ED3300"/>
    <w:rsid w:val="45F4468E"/>
    <w:rsid w:val="45F66658"/>
    <w:rsid w:val="45F823D0"/>
    <w:rsid w:val="45FD1795"/>
    <w:rsid w:val="45FE550D"/>
    <w:rsid w:val="460008CE"/>
    <w:rsid w:val="46072613"/>
    <w:rsid w:val="460743C1"/>
    <w:rsid w:val="460756E9"/>
    <w:rsid w:val="4607616F"/>
    <w:rsid w:val="460C19D8"/>
    <w:rsid w:val="460F3276"/>
    <w:rsid w:val="46107943"/>
    <w:rsid w:val="46113492"/>
    <w:rsid w:val="4614088C"/>
    <w:rsid w:val="46162856"/>
    <w:rsid w:val="46192F06"/>
    <w:rsid w:val="461A5B21"/>
    <w:rsid w:val="462036D5"/>
    <w:rsid w:val="46212412"/>
    <w:rsid w:val="462430DE"/>
    <w:rsid w:val="462601B3"/>
    <w:rsid w:val="462649D9"/>
    <w:rsid w:val="462705C0"/>
    <w:rsid w:val="46276812"/>
    <w:rsid w:val="462854DA"/>
    <w:rsid w:val="462A4554"/>
    <w:rsid w:val="462A6302"/>
    <w:rsid w:val="462C2D8F"/>
    <w:rsid w:val="462C3E28"/>
    <w:rsid w:val="462C5BD6"/>
    <w:rsid w:val="462F1B6A"/>
    <w:rsid w:val="462F56C6"/>
    <w:rsid w:val="463158E2"/>
    <w:rsid w:val="46334F19"/>
    <w:rsid w:val="46335E15"/>
    <w:rsid w:val="46371A7E"/>
    <w:rsid w:val="463A4797"/>
    <w:rsid w:val="463D6035"/>
    <w:rsid w:val="463F1DAD"/>
    <w:rsid w:val="46426CF6"/>
    <w:rsid w:val="464508D5"/>
    <w:rsid w:val="464C0026"/>
    <w:rsid w:val="4656185A"/>
    <w:rsid w:val="4658260D"/>
    <w:rsid w:val="465901DB"/>
    <w:rsid w:val="46592743"/>
    <w:rsid w:val="465E7D59"/>
    <w:rsid w:val="46601D24"/>
    <w:rsid w:val="46623CEE"/>
    <w:rsid w:val="46641814"/>
    <w:rsid w:val="466452EE"/>
    <w:rsid w:val="46647A66"/>
    <w:rsid w:val="46671304"/>
    <w:rsid w:val="466730B2"/>
    <w:rsid w:val="466B0DF4"/>
    <w:rsid w:val="466C06C8"/>
    <w:rsid w:val="466E2692"/>
    <w:rsid w:val="466F1F67"/>
    <w:rsid w:val="46703195"/>
    <w:rsid w:val="46733805"/>
    <w:rsid w:val="46761547"/>
    <w:rsid w:val="46767799"/>
    <w:rsid w:val="467707EA"/>
    <w:rsid w:val="467852BF"/>
    <w:rsid w:val="467A27E4"/>
    <w:rsid w:val="467D0B27"/>
    <w:rsid w:val="467D28D5"/>
    <w:rsid w:val="467F03FC"/>
    <w:rsid w:val="467F21AA"/>
    <w:rsid w:val="467F664E"/>
    <w:rsid w:val="46804174"/>
    <w:rsid w:val="46821C9A"/>
    <w:rsid w:val="46827EEC"/>
    <w:rsid w:val="46892835"/>
    <w:rsid w:val="468A0762"/>
    <w:rsid w:val="468B47AB"/>
    <w:rsid w:val="468D70CB"/>
    <w:rsid w:val="4691012F"/>
    <w:rsid w:val="469320F9"/>
    <w:rsid w:val="46937F95"/>
    <w:rsid w:val="46965745"/>
    <w:rsid w:val="4698770F"/>
    <w:rsid w:val="469C7200"/>
    <w:rsid w:val="469D6AD4"/>
    <w:rsid w:val="46A301C2"/>
    <w:rsid w:val="46A47E62"/>
    <w:rsid w:val="46A54CB5"/>
    <w:rsid w:val="46A83331"/>
    <w:rsid w:val="46A952CE"/>
    <w:rsid w:val="46AA2F9F"/>
    <w:rsid w:val="46AC31BB"/>
    <w:rsid w:val="46AC4F69"/>
    <w:rsid w:val="46AF05B5"/>
    <w:rsid w:val="46B00C35"/>
    <w:rsid w:val="46B215A3"/>
    <w:rsid w:val="46B24D85"/>
    <w:rsid w:val="46B61944"/>
    <w:rsid w:val="46B81848"/>
    <w:rsid w:val="46BD7176"/>
    <w:rsid w:val="46C36755"/>
    <w:rsid w:val="46C47640"/>
    <w:rsid w:val="46C6427C"/>
    <w:rsid w:val="46CB11D0"/>
    <w:rsid w:val="46CC1167"/>
    <w:rsid w:val="46D027AA"/>
    <w:rsid w:val="46D06EA9"/>
    <w:rsid w:val="46D1677D"/>
    <w:rsid w:val="46D43D3B"/>
    <w:rsid w:val="46D544C0"/>
    <w:rsid w:val="46D93806"/>
    <w:rsid w:val="46DA3884"/>
    <w:rsid w:val="46DF0E9A"/>
    <w:rsid w:val="46DF533E"/>
    <w:rsid w:val="46E14C12"/>
    <w:rsid w:val="46E22739"/>
    <w:rsid w:val="46E26BDC"/>
    <w:rsid w:val="46E60A17"/>
    <w:rsid w:val="46E60C47"/>
    <w:rsid w:val="46E64E96"/>
    <w:rsid w:val="46E666CD"/>
    <w:rsid w:val="46E82445"/>
    <w:rsid w:val="46E93AC7"/>
    <w:rsid w:val="46EB6657"/>
    <w:rsid w:val="46EC0BEC"/>
    <w:rsid w:val="46EE37D3"/>
    <w:rsid w:val="46F30DEA"/>
    <w:rsid w:val="46F54B62"/>
    <w:rsid w:val="46F56910"/>
    <w:rsid w:val="46F67875"/>
    <w:rsid w:val="46F96400"/>
    <w:rsid w:val="46FB75DC"/>
    <w:rsid w:val="46FF32EA"/>
    <w:rsid w:val="46FF778E"/>
    <w:rsid w:val="47044DA5"/>
    <w:rsid w:val="47060B1D"/>
    <w:rsid w:val="47061B1E"/>
    <w:rsid w:val="47092F16"/>
    <w:rsid w:val="470D4FF2"/>
    <w:rsid w:val="4710374A"/>
    <w:rsid w:val="4712301E"/>
    <w:rsid w:val="47171A69"/>
    <w:rsid w:val="47190850"/>
    <w:rsid w:val="471A45C8"/>
    <w:rsid w:val="471A6376"/>
    <w:rsid w:val="471F573B"/>
    <w:rsid w:val="472114B3"/>
    <w:rsid w:val="47213261"/>
    <w:rsid w:val="47264D1B"/>
    <w:rsid w:val="472965B9"/>
    <w:rsid w:val="472B0583"/>
    <w:rsid w:val="472B2331"/>
    <w:rsid w:val="472B40E0"/>
    <w:rsid w:val="47317771"/>
    <w:rsid w:val="47321912"/>
    <w:rsid w:val="47381C65"/>
    <w:rsid w:val="473833E7"/>
    <w:rsid w:val="47396823"/>
    <w:rsid w:val="473A4323"/>
    <w:rsid w:val="473D6855"/>
    <w:rsid w:val="4740402F"/>
    <w:rsid w:val="474433F3"/>
    <w:rsid w:val="474451A1"/>
    <w:rsid w:val="47460F19"/>
    <w:rsid w:val="474927B8"/>
    <w:rsid w:val="474D22A8"/>
    <w:rsid w:val="47507FEA"/>
    <w:rsid w:val="47523D62"/>
    <w:rsid w:val="475353E4"/>
    <w:rsid w:val="47543636"/>
    <w:rsid w:val="47574ED5"/>
    <w:rsid w:val="475A2C17"/>
    <w:rsid w:val="475E522F"/>
    <w:rsid w:val="47634395"/>
    <w:rsid w:val="476615BC"/>
    <w:rsid w:val="47683A8C"/>
    <w:rsid w:val="476870E2"/>
    <w:rsid w:val="476D294A"/>
    <w:rsid w:val="476D5EBB"/>
    <w:rsid w:val="47705F96"/>
    <w:rsid w:val="47711558"/>
    <w:rsid w:val="47723768"/>
    <w:rsid w:val="47737835"/>
    <w:rsid w:val="47767A51"/>
    <w:rsid w:val="477A0BC3"/>
    <w:rsid w:val="477C0DDF"/>
    <w:rsid w:val="477C2B8D"/>
    <w:rsid w:val="477C493B"/>
    <w:rsid w:val="4780267D"/>
    <w:rsid w:val="4783216D"/>
    <w:rsid w:val="47833F1C"/>
    <w:rsid w:val="47887784"/>
    <w:rsid w:val="478D5BF4"/>
    <w:rsid w:val="478F0B12"/>
    <w:rsid w:val="479003E6"/>
    <w:rsid w:val="47941C85"/>
    <w:rsid w:val="47944EF6"/>
    <w:rsid w:val="47953C4F"/>
    <w:rsid w:val="4797193C"/>
    <w:rsid w:val="4799373F"/>
    <w:rsid w:val="479954ED"/>
    <w:rsid w:val="4799729B"/>
    <w:rsid w:val="479A3D49"/>
    <w:rsid w:val="479E0D55"/>
    <w:rsid w:val="479E2B03"/>
    <w:rsid w:val="479E48B1"/>
    <w:rsid w:val="47A143A2"/>
    <w:rsid w:val="47A520E4"/>
    <w:rsid w:val="47A67C0A"/>
    <w:rsid w:val="47A83982"/>
    <w:rsid w:val="47A85730"/>
    <w:rsid w:val="47AA2CDC"/>
    <w:rsid w:val="47AB6FCE"/>
    <w:rsid w:val="47AE7F11"/>
    <w:rsid w:val="47AF6ABF"/>
    <w:rsid w:val="47B02837"/>
    <w:rsid w:val="47B464F3"/>
    <w:rsid w:val="47B6609F"/>
    <w:rsid w:val="47B76829"/>
    <w:rsid w:val="47B82F6D"/>
    <w:rsid w:val="47B95B8F"/>
    <w:rsid w:val="47BB1907"/>
    <w:rsid w:val="47BC11DC"/>
    <w:rsid w:val="47BC742D"/>
    <w:rsid w:val="47BE4F54"/>
    <w:rsid w:val="47C02A7A"/>
    <w:rsid w:val="47C043CC"/>
    <w:rsid w:val="47C3256A"/>
    <w:rsid w:val="47C87B80"/>
    <w:rsid w:val="47CA38F8"/>
    <w:rsid w:val="47D12ED9"/>
    <w:rsid w:val="47D14C87"/>
    <w:rsid w:val="47D42E07"/>
    <w:rsid w:val="47D66266"/>
    <w:rsid w:val="47D86283"/>
    <w:rsid w:val="47D9353C"/>
    <w:rsid w:val="47DC362C"/>
    <w:rsid w:val="47DD66CD"/>
    <w:rsid w:val="47DE73A4"/>
    <w:rsid w:val="47E26E94"/>
    <w:rsid w:val="47E2796E"/>
    <w:rsid w:val="47E54F55"/>
    <w:rsid w:val="47E97841"/>
    <w:rsid w:val="47EC382A"/>
    <w:rsid w:val="47ED09A2"/>
    <w:rsid w:val="47ED75E7"/>
    <w:rsid w:val="47F210A1"/>
    <w:rsid w:val="47F40975"/>
    <w:rsid w:val="47F44954"/>
    <w:rsid w:val="47F646ED"/>
    <w:rsid w:val="47FA3E97"/>
    <w:rsid w:val="47FB1D04"/>
    <w:rsid w:val="47FE50D5"/>
    <w:rsid w:val="47FE7A46"/>
    <w:rsid w:val="47FF0A27"/>
    <w:rsid w:val="4800556C"/>
    <w:rsid w:val="4803505C"/>
    <w:rsid w:val="48054931"/>
    <w:rsid w:val="4806542F"/>
    <w:rsid w:val="480706A9"/>
    <w:rsid w:val="480762A7"/>
    <w:rsid w:val="480A1F47"/>
    <w:rsid w:val="480A63EB"/>
    <w:rsid w:val="480C3F11"/>
    <w:rsid w:val="48111527"/>
    <w:rsid w:val="48117779"/>
    <w:rsid w:val="48141018"/>
    <w:rsid w:val="48177CEE"/>
    <w:rsid w:val="481903DC"/>
    <w:rsid w:val="481B05F8"/>
    <w:rsid w:val="481B4154"/>
    <w:rsid w:val="481B6F86"/>
    <w:rsid w:val="481C1C7A"/>
    <w:rsid w:val="481E1E96"/>
    <w:rsid w:val="481E59F2"/>
    <w:rsid w:val="481F0E98"/>
    <w:rsid w:val="482254E2"/>
    <w:rsid w:val="482374AD"/>
    <w:rsid w:val="48291C18"/>
    <w:rsid w:val="482F7BFF"/>
    <w:rsid w:val="48303FF4"/>
    <w:rsid w:val="48313978"/>
    <w:rsid w:val="483337FA"/>
    <w:rsid w:val="483376F0"/>
    <w:rsid w:val="483506A6"/>
    <w:rsid w:val="48390A7E"/>
    <w:rsid w:val="483D056E"/>
    <w:rsid w:val="483E5A6A"/>
    <w:rsid w:val="483E7E42"/>
    <w:rsid w:val="48427933"/>
    <w:rsid w:val="4845350F"/>
    <w:rsid w:val="484713ED"/>
    <w:rsid w:val="484740E8"/>
    <w:rsid w:val="48474F49"/>
    <w:rsid w:val="48482A6F"/>
    <w:rsid w:val="484C07B1"/>
    <w:rsid w:val="484C255F"/>
    <w:rsid w:val="484F02A2"/>
    <w:rsid w:val="48515DC8"/>
    <w:rsid w:val="48517B76"/>
    <w:rsid w:val="485338EE"/>
    <w:rsid w:val="485B27A2"/>
    <w:rsid w:val="485D5971"/>
    <w:rsid w:val="485F3794"/>
    <w:rsid w:val="486024AF"/>
    <w:rsid w:val="486414CE"/>
    <w:rsid w:val="48651873"/>
    <w:rsid w:val="48684EBF"/>
    <w:rsid w:val="48691363"/>
    <w:rsid w:val="486A6E89"/>
    <w:rsid w:val="486D5881"/>
    <w:rsid w:val="486E0728"/>
    <w:rsid w:val="48710218"/>
    <w:rsid w:val="48761B9A"/>
    <w:rsid w:val="48767934"/>
    <w:rsid w:val="48783354"/>
    <w:rsid w:val="487A051B"/>
    <w:rsid w:val="487D4E0F"/>
    <w:rsid w:val="487D6BBD"/>
    <w:rsid w:val="48815B25"/>
    <w:rsid w:val="4884619D"/>
    <w:rsid w:val="48847F4B"/>
    <w:rsid w:val="488717E9"/>
    <w:rsid w:val="48897310"/>
    <w:rsid w:val="488C0B16"/>
    <w:rsid w:val="489363E0"/>
    <w:rsid w:val="48961FF5"/>
    <w:rsid w:val="489A151D"/>
    <w:rsid w:val="489A776F"/>
    <w:rsid w:val="489B34E7"/>
    <w:rsid w:val="489F2FD7"/>
    <w:rsid w:val="48A24875"/>
    <w:rsid w:val="48A25DD0"/>
    <w:rsid w:val="48A44149"/>
    <w:rsid w:val="48A6009B"/>
    <w:rsid w:val="48AA54D8"/>
    <w:rsid w:val="48AC2FFE"/>
    <w:rsid w:val="48AC74A2"/>
    <w:rsid w:val="48AE4FC8"/>
    <w:rsid w:val="48AE6D76"/>
    <w:rsid w:val="48B01D2B"/>
    <w:rsid w:val="48B028BF"/>
    <w:rsid w:val="48B14AB8"/>
    <w:rsid w:val="48B3438D"/>
    <w:rsid w:val="48B52FCC"/>
    <w:rsid w:val="48B819A3"/>
    <w:rsid w:val="48B85E47"/>
    <w:rsid w:val="48BE7E69"/>
    <w:rsid w:val="48BF5427"/>
    <w:rsid w:val="48C742DC"/>
    <w:rsid w:val="48C7608A"/>
    <w:rsid w:val="48C92B1C"/>
    <w:rsid w:val="48C93BB0"/>
    <w:rsid w:val="48CE11C6"/>
    <w:rsid w:val="48D013E2"/>
    <w:rsid w:val="48D32C81"/>
    <w:rsid w:val="48D350D6"/>
    <w:rsid w:val="48D569F9"/>
    <w:rsid w:val="48D60C67"/>
    <w:rsid w:val="48D80297"/>
    <w:rsid w:val="48DB38E3"/>
    <w:rsid w:val="48DD2962"/>
    <w:rsid w:val="48E00EFA"/>
    <w:rsid w:val="48E1539E"/>
    <w:rsid w:val="48E50F34"/>
    <w:rsid w:val="48E629B4"/>
    <w:rsid w:val="48EB11B4"/>
    <w:rsid w:val="48EB1D78"/>
    <w:rsid w:val="48EB7FCA"/>
    <w:rsid w:val="48EC5C6C"/>
    <w:rsid w:val="48EE1869"/>
    <w:rsid w:val="48EE3617"/>
    <w:rsid w:val="48EF5006"/>
    <w:rsid w:val="48F350D1"/>
    <w:rsid w:val="48F74BC1"/>
    <w:rsid w:val="48FC3F85"/>
    <w:rsid w:val="48FD7CFE"/>
    <w:rsid w:val="48FF3A76"/>
    <w:rsid w:val="49070FFA"/>
    <w:rsid w:val="4907292A"/>
    <w:rsid w:val="490948F4"/>
    <w:rsid w:val="491017DF"/>
    <w:rsid w:val="49107A31"/>
    <w:rsid w:val="491237A9"/>
    <w:rsid w:val="491465B8"/>
    <w:rsid w:val="49170DBF"/>
    <w:rsid w:val="491868E5"/>
    <w:rsid w:val="49192FF1"/>
    <w:rsid w:val="491A08B0"/>
    <w:rsid w:val="491A265E"/>
    <w:rsid w:val="491B6405"/>
    <w:rsid w:val="491C4628"/>
    <w:rsid w:val="491C63D6"/>
    <w:rsid w:val="491F1A22"/>
    <w:rsid w:val="49260D69"/>
    <w:rsid w:val="49290AF3"/>
    <w:rsid w:val="492928A1"/>
    <w:rsid w:val="4929464F"/>
    <w:rsid w:val="492A2614"/>
    <w:rsid w:val="492B4393"/>
    <w:rsid w:val="492C5CCF"/>
    <w:rsid w:val="492E7EB7"/>
    <w:rsid w:val="49301E81"/>
    <w:rsid w:val="49347D6A"/>
    <w:rsid w:val="493556E9"/>
    <w:rsid w:val="49380D36"/>
    <w:rsid w:val="493A685C"/>
    <w:rsid w:val="49404145"/>
    <w:rsid w:val="49425710"/>
    <w:rsid w:val="49441489"/>
    <w:rsid w:val="494476DB"/>
    <w:rsid w:val="49490BB1"/>
    <w:rsid w:val="494B36B3"/>
    <w:rsid w:val="494F67AB"/>
    <w:rsid w:val="49543DC1"/>
    <w:rsid w:val="495518E8"/>
    <w:rsid w:val="4957740E"/>
    <w:rsid w:val="49581B1D"/>
    <w:rsid w:val="495A0A0F"/>
    <w:rsid w:val="495A5150"/>
    <w:rsid w:val="495C4298"/>
    <w:rsid w:val="495D0CB3"/>
    <w:rsid w:val="495E69EE"/>
    <w:rsid w:val="49634005"/>
    <w:rsid w:val="49636428"/>
    <w:rsid w:val="496438D9"/>
    <w:rsid w:val="49663AF5"/>
    <w:rsid w:val="49675177"/>
    <w:rsid w:val="4968161B"/>
    <w:rsid w:val="49690EEF"/>
    <w:rsid w:val="49692915"/>
    <w:rsid w:val="496A3DE1"/>
    <w:rsid w:val="496D6C31"/>
    <w:rsid w:val="496E6505"/>
    <w:rsid w:val="496F0BFB"/>
    <w:rsid w:val="496F29A9"/>
    <w:rsid w:val="497004D0"/>
    <w:rsid w:val="49755AE6"/>
    <w:rsid w:val="49785E98"/>
    <w:rsid w:val="497908A0"/>
    <w:rsid w:val="49792F60"/>
    <w:rsid w:val="49793828"/>
    <w:rsid w:val="497A134E"/>
    <w:rsid w:val="497C50C6"/>
    <w:rsid w:val="497D499A"/>
    <w:rsid w:val="49804BB7"/>
    <w:rsid w:val="498521CD"/>
    <w:rsid w:val="49861AA1"/>
    <w:rsid w:val="49863D09"/>
    <w:rsid w:val="49885819"/>
    <w:rsid w:val="498D1081"/>
    <w:rsid w:val="49900B72"/>
    <w:rsid w:val="49942410"/>
    <w:rsid w:val="49971F00"/>
    <w:rsid w:val="499769D5"/>
    <w:rsid w:val="499917D4"/>
    <w:rsid w:val="499A72FA"/>
    <w:rsid w:val="499E328F"/>
    <w:rsid w:val="499E503D"/>
    <w:rsid w:val="49A07007"/>
    <w:rsid w:val="49A121F2"/>
    <w:rsid w:val="49A24972"/>
    <w:rsid w:val="49A32653"/>
    <w:rsid w:val="49A34401"/>
    <w:rsid w:val="49AB59AC"/>
    <w:rsid w:val="49AB775A"/>
    <w:rsid w:val="49AD6EB4"/>
    <w:rsid w:val="49AE005F"/>
    <w:rsid w:val="49AE2DA6"/>
    <w:rsid w:val="49B20AE8"/>
    <w:rsid w:val="49B303BC"/>
    <w:rsid w:val="49B4660E"/>
    <w:rsid w:val="49B74350"/>
    <w:rsid w:val="49BE2139"/>
    <w:rsid w:val="49BF6D61"/>
    <w:rsid w:val="49C16F7D"/>
    <w:rsid w:val="49C27C4A"/>
    <w:rsid w:val="49C600F0"/>
    <w:rsid w:val="49C64593"/>
    <w:rsid w:val="49C8030C"/>
    <w:rsid w:val="49CA5E32"/>
    <w:rsid w:val="49CA7BE0"/>
    <w:rsid w:val="49CB1BAA"/>
    <w:rsid w:val="49CC38CD"/>
    <w:rsid w:val="49CD5922"/>
    <w:rsid w:val="49CE40BD"/>
    <w:rsid w:val="49CF169A"/>
    <w:rsid w:val="49D071C0"/>
    <w:rsid w:val="49D15412"/>
    <w:rsid w:val="49D57801"/>
    <w:rsid w:val="49D651CE"/>
    <w:rsid w:val="49D767A1"/>
    <w:rsid w:val="49DB003F"/>
    <w:rsid w:val="49DE18DD"/>
    <w:rsid w:val="49DE7B2F"/>
    <w:rsid w:val="49E35145"/>
    <w:rsid w:val="49E60786"/>
    <w:rsid w:val="49E712B8"/>
    <w:rsid w:val="49ED1B20"/>
    <w:rsid w:val="49ED38CE"/>
    <w:rsid w:val="49ED5F91"/>
    <w:rsid w:val="49F11610"/>
    <w:rsid w:val="49F30518"/>
    <w:rsid w:val="49F44C5D"/>
    <w:rsid w:val="49F66C27"/>
    <w:rsid w:val="49F7299F"/>
    <w:rsid w:val="49F9481C"/>
    <w:rsid w:val="49FA3228"/>
    <w:rsid w:val="49FB2C9D"/>
    <w:rsid w:val="49FE539A"/>
    <w:rsid w:val="4A02617A"/>
    <w:rsid w:val="4A08695A"/>
    <w:rsid w:val="4A0D4DC1"/>
    <w:rsid w:val="4A183041"/>
    <w:rsid w:val="4A1E1CDA"/>
    <w:rsid w:val="4A1E7F2C"/>
    <w:rsid w:val="4A225C6E"/>
    <w:rsid w:val="4A253068"/>
    <w:rsid w:val="4A253878"/>
    <w:rsid w:val="4A2B43F6"/>
    <w:rsid w:val="4A2B6732"/>
    <w:rsid w:val="4A2D016F"/>
    <w:rsid w:val="4A2F3EE7"/>
    <w:rsid w:val="4A301A0D"/>
    <w:rsid w:val="4A315EB1"/>
    <w:rsid w:val="4A325785"/>
    <w:rsid w:val="4A3414FD"/>
    <w:rsid w:val="4A3634C7"/>
    <w:rsid w:val="4A3847B0"/>
    <w:rsid w:val="4A3D12CF"/>
    <w:rsid w:val="4A3D2AA8"/>
    <w:rsid w:val="4A3F772C"/>
    <w:rsid w:val="4A421E6C"/>
    <w:rsid w:val="4A422252"/>
    <w:rsid w:val="4A45195C"/>
    <w:rsid w:val="4A45370A"/>
    <w:rsid w:val="4A492B02"/>
    <w:rsid w:val="4A4C6847"/>
    <w:rsid w:val="4A4D0811"/>
    <w:rsid w:val="4A4F6337"/>
    <w:rsid w:val="4A58343D"/>
    <w:rsid w:val="4A584C12"/>
    <w:rsid w:val="4A5B2F2E"/>
    <w:rsid w:val="4A5E2A1E"/>
    <w:rsid w:val="4A5E657A"/>
    <w:rsid w:val="4A633B90"/>
    <w:rsid w:val="4A645093"/>
    <w:rsid w:val="4A655B5A"/>
    <w:rsid w:val="4A657908"/>
    <w:rsid w:val="4A6603DD"/>
    <w:rsid w:val="4A6718D3"/>
    <w:rsid w:val="4A6A13C3"/>
    <w:rsid w:val="4A6B73A4"/>
    <w:rsid w:val="4A6C513B"/>
    <w:rsid w:val="4A6E7668"/>
    <w:rsid w:val="4A730277"/>
    <w:rsid w:val="4A761B16"/>
    <w:rsid w:val="4A783AE0"/>
    <w:rsid w:val="4A7A7858"/>
    <w:rsid w:val="4A7B537E"/>
    <w:rsid w:val="4A7D2EA4"/>
    <w:rsid w:val="4A7F4E6E"/>
    <w:rsid w:val="4A803889"/>
    <w:rsid w:val="4A84612C"/>
    <w:rsid w:val="4A897A9B"/>
    <w:rsid w:val="4A8A55C1"/>
    <w:rsid w:val="4A8F0E29"/>
    <w:rsid w:val="4A970E0D"/>
    <w:rsid w:val="4A987CDE"/>
    <w:rsid w:val="4A9B77CE"/>
    <w:rsid w:val="4AA04DE4"/>
    <w:rsid w:val="4AA541A9"/>
    <w:rsid w:val="4AA76173"/>
    <w:rsid w:val="4AAB17DF"/>
    <w:rsid w:val="4AAD40FF"/>
    <w:rsid w:val="4AAE7501"/>
    <w:rsid w:val="4AAF6DD6"/>
    <w:rsid w:val="4AB03279"/>
    <w:rsid w:val="4AB10DA0"/>
    <w:rsid w:val="4AB205CA"/>
    <w:rsid w:val="4AB34B18"/>
    <w:rsid w:val="4ABC719B"/>
    <w:rsid w:val="4AC24D5B"/>
    <w:rsid w:val="4AC26B09"/>
    <w:rsid w:val="4AC35226"/>
    <w:rsid w:val="4ACA1E61"/>
    <w:rsid w:val="4ACC5BD9"/>
    <w:rsid w:val="4ACE54AE"/>
    <w:rsid w:val="4AD257EA"/>
    <w:rsid w:val="4AD75C2B"/>
    <w:rsid w:val="4AD8632C"/>
    <w:rsid w:val="4ADF597A"/>
    <w:rsid w:val="4AE271AB"/>
    <w:rsid w:val="4AE9678B"/>
    <w:rsid w:val="4AEB2F91"/>
    <w:rsid w:val="4AEB42B2"/>
    <w:rsid w:val="4AEC002A"/>
    <w:rsid w:val="4AF173EE"/>
    <w:rsid w:val="4AF5379C"/>
    <w:rsid w:val="4AF55130"/>
    <w:rsid w:val="4AF8077D"/>
    <w:rsid w:val="4AFD3FE5"/>
    <w:rsid w:val="4AFD5D93"/>
    <w:rsid w:val="4AFF1B0B"/>
    <w:rsid w:val="4AFF5FAF"/>
    <w:rsid w:val="4B0233A9"/>
    <w:rsid w:val="4B040E73"/>
    <w:rsid w:val="4B054806"/>
    <w:rsid w:val="4B0B6702"/>
    <w:rsid w:val="4B0D743B"/>
    <w:rsid w:val="4B0E73A1"/>
    <w:rsid w:val="4B14473D"/>
    <w:rsid w:val="4B1530DD"/>
    <w:rsid w:val="4B157580"/>
    <w:rsid w:val="4B176A2C"/>
    <w:rsid w:val="4B187071"/>
    <w:rsid w:val="4B1B26BD"/>
    <w:rsid w:val="4B1D6435"/>
    <w:rsid w:val="4B1E2290"/>
    <w:rsid w:val="4B1F21AD"/>
    <w:rsid w:val="4B223A4B"/>
    <w:rsid w:val="4B235083"/>
    <w:rsid w:val="4B2477C4"/>
    <w:rsid w:val="4B257098"/>
    <w:rsid w:val="4B272BB3"/>
    <w:rsid w:val="4B280A75"/>
    <w:rsid w:val="4B29302C"/>
    <w:rsid w:val="4B2B6DA4"/>
    <w:rsid w:val="4B2C6678"/>
    <w:rsid w:val="4B2E23F0"/>
    <w:rsid w:val="4B306168"/>
    <w:rsid w:val="4B315A3D"/>
    <w:rsid w:val="4B322741"/>
    <w:rsid w:val="4B323DAD"/>
    <w:rsid w:val="4B3317B5"/>
    <w:rsid w:val="4B3519FA"/>
    <w:rsid w:val="4B35377F"/>
    <w:rsid w:val="4B375749"/>
    <w:rsid w:val="4B3774F7"/>
    <w:rsid w:val="4B3C4B0D"/>
    <w:rsid w:val="4B3D2633"/>
    <w:rsid w:val="4B4237BB"/>
    <w:rsid w:val="4B45613C"/>
    <w:rsid w:val="4B4614E8"/>
    <w:rsid w:val="4B4B11F4"/>
    <w:rsid w:val="4B4B6AFE"/>
    <w:rsid w:val="4B4E2A92"/>
    <w:rsid w:val="4B5F6A4E"/>
    <w:rsid w:val="4B6127C6"/>
    <w:rsid w:val="4B622F4D"/>
    <w:rsid w:val="4B62516E"/>
    <w:rsid w:val="4B645E12"/>
    <w:rsid w:val="4B661B8A"/>
    <w:rsid w:val="4B67567C"/>
    <w:rsid w:val="4B683B54"/>
    <w:rsid w:val="4B6B71A0"/>
    <w:rsid w:val="4B6C0448"/>
    <w:rsid w:val="4B6C3558"/>
    <w:rsid w:val="4B6C64B9"/>
    <w:rsid w:val="4B6E4EE3"/>
    <w:rsid w:val="4B7007A8"/>
    <w:rsid w:val="4B736055"/>
    <w:rsid w:val="4B7365E9"/>
    <w:rsid w:val="4B7818BD"/>
    <w:rsid w:val="4B797B0F"/>
    <w:rsid w:val="4B7A5635"/>
    <w:rsid w:val="4B7A73E4"/>
    <w:rsid w:val="4B7C7600"/>
    <w:rsid w:val="4B810772"/>
    <w:rsid w:val="4B842010"/>
    <w:rsid w:val="4B885FA4"/>
    <w:rsid w:val="4B8B339F"/>
    <w:rsid w:val="4B8D35BB"/>
    <w:rsid w:val="4B8D7117"/>
    <w:rsid w:val="4B8E10E1"/>
    <w:rsid w:val="4B906C07"/>
    <w:rsid w:val="4B911AF6"/>
    <w:rsid w:val="4B9153E2"/>
    <w:rsid w:val="4B9404AC"/>
    <w:rsid w:val="4B977F95"/>
    <w:rsid w:val="4B983D0E"/>
    <w:rsid w:val="4B985ABC"/>
    <w:rsid w:val="4B992729"/>
    <w:rsid w:val="4B9C03C6"/>
    <w:rsid w:val="4B9C1A50"/>
    <w:rsid w:val="4BB072A9"/>
    <w:rsid w:val="4BB66672"/>
    <w:rsid w:val="4BB70638"/>
    <w:rsid w:val="4BB8430B"/>
    <w:rsid w:val="4BB9615E"/>
    <w:rsid w:val="4BBE0F5B"/>
    <w:rsid w:val="4BBE3774"/>
    <w:rsid w:val="4BBF129A"/>
    <w:rsid w:val="4BC0573E"/>
    <w:rsid w:val="4BC32003"/>
    <w:rsid w:val="4BC32B39"/>
    <w:rsid w:val="4BC6087B"/>
    <w:rsid w:val="4BC82845"/>
    <w:rsid w:val="4BCB40E3"/>
    <w:rsid w:val="4BCE772F"/>
    <w:rsid w:val="4BD016F9"/>
    <w:rsid w:val="4BD25472"/>
    <w:rsid w:val="4BD27836"/>
    <w:rsid w:val="4BD44D46"/>
    <w:rsid w:val="4BD50ABE"/>
    <w:rsid w:val="4BDD6A09"/>
    <w:rsid w:val="4BDE3E16"/>
    <w:rsid w:val="4BDE7972"/>
    <w:rsid w:val="4BE3142D"/>
    <w:rsid w:val="4BE66C5C"/>
    <w:rsid w:val="4BE86A43"/>
    <w:rsid w:val="4BE96317"/>
    <w:rsid w:val="4BEB6533"/>
    <w:rsid w:val="4BF14E5C"/>
    <w:rsid w:val="4BF235D4"/>
    <w:rsid w:val="4BF338A9"/>
    <w:rsid w:val="4BF442CE"/>
    <w:rsid w:val="4BF54DBF"/>
    <w:rsid w:val="4BF6455A"/>
    <w:rsid w:val="4BF74ED8"/>
    <w:rsid w:val="4BFA22D2"/>
    <w:rsid w:val="4BFC604B"/>
    <w:rsid w:val="4C041E93"/>
    <w:rsid w:val="4C0513A3"/>
    <w:rsid w:val="4C0A0767"/>
    <w:rsid w:val="4C0A4C0B"/>
    <w:rsid w:val="4C1415E6"/>
    <w:rsid w:val="4C143394"/>
    <w:rsid w:val="4C1A4723"/>
    <w:rsid w:val="4C1C049B"/>
    <w:rsid w:val="4C1E06B7"/>
    <w:rsid w:val="4C1E2465"/>
    <w:rsid w:val="4C2061DD"/>
    <w:rsid w:val="4C230DCB"/>
    <w:rsid w:val="4C234753"/>
    <w:rsid w:val="4C240ED6"/>
    <w:rsid w:val="4C261319"/>
    <w:rsid w:val="4C2832E3"/>
    <w:rsid w:val="4C2866BD"/>
    <w:rsid w:val="4C286E40"/>
    <w:rsid w:val="4C2C2DD4"/>
    <w:rsid w:val="4C2C72E7"/>
    <w:rsid w:val="4C303F46"/>
    <w:rsid w:val="4C3C0B3D"/>
    <w:rsid w:val="4C3E6663"/>
    <w:rsid w:val="4C46376A"/>
    <w:rsid w:val="4C4D4AF8"/>
    <w:rsid w:val="4C4D68A6"/>
    <w:rsid w:val="4C5145E8"/>
    <w:rsid w:val="4C52210E"/>
    <w:rsid w:val="4C545E87"/>
    <w:rsid w:val="4C561BFF"/>
    <w:rsid w:val="4C59524B"/>
    <w:rsid w:val="4C5B5467"/>
    <w:rsid w:val="4C63431C"/>
    <w:rsid w:val="4C6A36A5"/>
    <w:rsid w:val="4C6C1422"/>
    <w:rsid w:val="4C6D0CF6"/>
    <w:rsid w:val="4C6D519A"/>
    <w:rsid w:val="4C714C8A"/>
    <w:rsid w:val="4C72630D"/>
    <w:rsid w:val="4C7327B1"/>
    <w:rsid w:val="4C7622A1"/>
    <w:rsid w:val="4C78370F"/>
    <w:rsid w:val="4C793B3F"/>
    <w:rsid w:val="4C7B1665"/>
    <w:rsid w:val="4C806C7C"/>
    <w:rsid w:val="4C83676C"/>
    <w:rsid w:val="4C845752"/>
    <w:rsid w:val="4C851DD6"/>
    <w:rsid w:val="4C8524E4"/>
    <w:rsid w:val="4C88625F"/>
    <w:rsid w:val="4C8A18A8"/>
    <w:rsid w:val="4C8C3872"/>
    <w:rsid w:val="4C8C5620"/>
    <w:rsid w:val="4C91592D"/>
    <w:rsid w:val="4C96024D"/>
    <w:rsid w:val="4C96649F"/>
    <w:rsid w:val="4C983FC5"/>
    <w:rsid w:val="4C997D3D"/>
    <w:rsid w:val="4C9B03A8"/>
    <w:rsid w:val="4C9D5A7F"/>
    <w:rsid w:val="4C9D782D"/>
    <w:rsid w:val="4CA24E44"/>
    <w:rsid w:val="4CA566E2"/>
    <w:rsid w:val="4CAA019C"/>
    <w:rsid w:val="4CAA210E"/>
    <w:rsid w:val="4CAC181F"/>
    <w:rsid w:val="4CAE1A3B"/>
    <w:rsid w:val="4CAF130F"/>
    <w:rsid w:val="4CB2203E"/>
    <w:rsid w:val="4CB37051"/>
    <w:rsid w:val="4CB46925"/>
    <w:rsid w:val="4CB6269D"/>
    <w:rsid w:val="4CB86DF3"/>
    <w:rsid w:val="4CBA03DF"/>
    <w:rsid w:val="4CBB0017"/>
    <w:rsid w:val="4CBB4158"/>
    <w:rsid w:val="4CBD57DA"/>
    <w:rsid w:val="4CC0351C"/>
    <w:rsid w:val="4CC34DBA"/>
    <w:rsid w:val="4CC50B32"/>
    <w:rsid w:val="4CC530DC"/>
    <w:rsid w:val="4CCE5C39"/>
    <w:rsid w:val="4CCF550D"/>
    <w:rsid w:val="4CD55219"/>
    <w:rsid w:val="4CDB4880"/>
    <w:rsid w:val="4CDD40CE"/>
    <w:rsid w:val="4CDF7E46"/>
    <w:rsid w:val="4CE511D4"/>
    <w:rsid w:val="4CE90CC5"/>
    <w:rsid w:val="4CE92A73"/>
    <w:rsid w:val="4CE94821"/>
    <w:rsid w:val="4CEA2347"/>
    <w:rsid w:val="4CEC4311"/>
    <w:rsid w:val="4CEE22E8"/>
    <w:rsid w:val="4CEF795D"/>
    <w:rsid w:val="4CF136D5"/>
    <w:rsid w:val="4CF3744D"/>
    <w:rsid w:val="4CFA6A2E"/>
    <w:rsid w:val="4CFB27A6"/>
    <w:rsid w:val="4CFD02CC"/>
    <w:rsid w:val="4D007DBC"/>
    <w:rsid w:val="4D0257B7"/>
    <w:rsid w:val="4D0745D0"/>
    <w:rsid w:val="4D07739D"/>
    <w:rsid w:val="4D096C71"/>
    <w:rsid w:val="4D0F1DAD"/>
    <w:rsid w:val="4D106251"/>
    <w:rsid w:val="4D16138E"/>
    <w:rsid w:val="4D162706"/>
    <w:rsid w:val="4D1B4BF6"/>
    <w:rsid w:val="4D1B69A4"/>
    <w:rsid w:val="4D1D096E"/>
    <w:rsid w:val="4D2017B0"/>
    <w:rsid w:val="4D20220D"/>
    <w:rsid w:val="4D221A5E"/>
    <w:rsid w:val="4D2515D1"/>
    <w:rsid w:val="4D264D26"/>
    <w:rsid w:val="4D2717ED"/>
    <w:rsid w:val="4D2770F7"/>
    <w:rsid w:val="4D292E6F"/>
    <w:rsid w:val="4D293D16"/>
    <w:rsid w:val="4D2A6BE7"/>
    <w:rsid w:val="4D2F1ADF"/>
    <w:rsid w:val="4D3006A2"/>
    <w:rsid w:val="4D330192"/>
    <w:rsid w:val="4D36739D"/>
    <w:rsid w:val="4D37082D"/>
    <w:rsid w:val="4D371F6E"/>
    <w:rsid w:val="4D397E04"/>
    <w:rsid w:val="4D3A32CE"/>
    <w:rsid w:val="4D3C69D3"/>
    <w:rsid w:val="4D3D2DBF"/>
    <w:rsid w:val="4D3F08E5"/>
    <w:rsid w:val="4D415786"/>
    <w:rsid w:val="4D415BF1"/>
    <w:rsid w:val="4D437B82"/>
    <w:rsid w:val="4D445EFB"/>
    <w:rsid w:val="4D461C73"/>
    <w:rsid w:val="4D467EC5"/>
    <w:rsid w:val="4D4863AE"/>
    <w:rsid w:val="4D4E28D6"/>
    <w:rsid w:val="4D502AF2"/>
    <w:rsid w:val="4D5123C6"/>
    <w:rsid w:val="4D583754"/>
    <w:rsid w:val="4D587BF8"/>
    <w:rsid w:val="4D5A127B"/>
    <w:rsid w:val="4D5B3007"/>
    <w:rsid w:val="4D5D0D6B"/>
    <w:rsid w:val="4D5F4AE3"/>
    <w:rsid w:val="4D616AAD"/>
    <w:rsid w:val="4D622825"/>
    <w:rsid w:val="4D64034B"/>
    <w:rsid w:val="4D6420F9"/>
    <w:rsid w:val="4D6604E2"/>
    <w:rsid w:val="4D695962"/>
    <w:rsid w:val="4D7134F7"/>
    <w:rsid w:val="4D714816"/>
    <w:rsid w:val="4D720CBA"/>
    <w:rsid w:val="4D724B67"/>
    <w:rsid w:val="4D7D65E7"/>
    <w:rsid w:val="4D7E21E3"/>
    <w:rsid w:val="4D7F63B0"/>
    <w:rsid w:val="4D83282D"/>
    <w:rsid w:val="4D850510"/>
    <w:rsid w:val="4D891B60"/>
    <w:rsid w:val="4D8C33FE"/>
    <w:rsid w:val="4D8E53C8"/>
    <w:rsid w:val="4D92310A"/>
    <w:rsid w:val="4D930C30"/>
    <w:rsid w:val="4D970721"/>
    <w:rsid w:val="4D986247"/>
    <w:rsid w:val="4D9A6EA9"/>
    <w:rsid w:val="4D9E1AAF"/>
    <w:rsid w:val="4D9E6636"/>
    <w:rsid w:val="4D9F75D5"/>
    <w:rsid w:val="4DA1334D"/>
    <w:rsid w:val="4DA44BEC"/>
    <w:rsid w:val="4DA60964"/>
    <w:rsid w:val="4DA74D9E"/>
    <w:rsid w:val="4DA76772"/>
    <w:rsid w:val="4DA76E08"/>
    <w:rsid w:val="4DA9228F"/>
    <w:rsid w:val="4DAB41CC"/>
    <w:rsid w:val="4DAB5F7A"/>
    <w:rsid w:val="4DAB7D28"/>
    <w:rsid w:val="4DAC584E"/>
    <w:rsid w:val="4DB03590"/>
    <w:rsid w:val="4DB12E65"/>
    <w:rsid w:val="4DB210B7"/>
    <w:rsid w:val="4DB91463"/>
    <w:rsid w:val="4DBC0187"/>
    <w:rsid w:val="4DBC3CE3"/>
    <w:rsid w:val="4DBF5582"/>
    <w:rsid w:val="4DC1579E"/>
    <w:rsid w:val="4DC16D0B"/>
    <w:rsid w:val="4DC40DEA"/>
    <w:rsid w:val="4DC62DB4"/>
    <w:rsid w:val="4DC90E55"/>
    <w:rsid w:val="4DC94652"/>
    <w:rsid w:val="4DC96CA8"/>
    <w:rsid w:val="4DD26CD8"/>
    <w:rsid w:val="4DD70B1D"/>
    <w:rsid w:val="4DD734A1"/>
    <w:rsid w:val="4DDA060D"/>
    <w:rsid w:val="4DDC25D7"/>
    <w:rsid w:val="4DDE1EAC"/>
    <w:rsid w:val="4DDF5C24"/>
    <w:rsid w:val="4DE1374A"/>
    <w:rsid w:val="4DE16570"/>
    <w:rsid w:val="4DE33966"/>
    <w:rsid w:val="4DE65204"/>
    <w:rsid w:val="4DEA5895"/>
    <w:rsid w:val="4DEB45C9"/>
    <w:rsid w:val="4DF0398D"/>
    <w:rsid w:val="4DF3347D"/>
    <w:rsid w:val="4DF55447"/>
    <w:rsid w:val="4DF55CC5"/>
    <w:rsid w:val="4DF711BF"/>
    <w:rsid w:val="4DF93914"/>
    <w:rsid w:val="4DF94F37"/>
    <w:rsid w:val="4DFC67D6"/>
    <w:rsid w:val="4DFE60AA"/>
    <w:rsid w:val="4DFF5C88"/>
    <w:rsid w:val="4E01203E"/>
    <w:rsid w:val="4E031912"/>
    <w:rsid w:val="4E0336C0"/>
    <w:rsid w:val="4E035DB6"/>
    <w:rsid w:val="4E061402"/>
    <w:rsid w:val="4E08517B"/>
    <w:rsid w:val="4E0A4825"/>
    <w:rsid w:val="4E0C137B"/>
    <w:rsid w:val="4E0F6509"/>
    <w:rsid w:val="4E115646"/>
    <w:rsid w:val="4E1458CD"/>
    <w:rsid w:val="4E157897"/>
    <w:rsid w:val="4E1753BE"/>
    <w:rsid w:val="4E1C6E78"/>
    <w:rsid w:val="4E1F15CD"/>
    <w:rsid w:val="4E222111"/>
    <w:rsid w:val="4E255D2C"/>
    <w:rsid w:val="4E2875CB"/>
    <w:rsid w:val="4E2D2E33"/>
    <w:rsid w:val="4E2E44B5"/>
    <w:rsid w:val="4E317B5C"/>
    <w:rsid w:val="4E36503C"/>
    <w:rsid w:val="4E37780E"/>
    <w:rsid w:val="4E386936"/>
    <w:rsid w:val="4E386F08"/>
    <w:rsid w:val="4E393586"/>
    <w:rsid w:val="4E395334"/>
    <w:rsid w:val="4E3A10AC"/>
    <w:rsid w:val="4E3B5550"/>
    <w:rsid w:val="4E3B72FE"/>
    <w:rsid w:val="4E3C5889"/>
    <w:rsid w:val="4E4168DE"/>
    <w:rsid w:val="4E434405"/>
    <w:rsid w:val="4E453CD9"/>
    <w:rsid w:val="4E481A1B"/>
    <w:rsid w:val="4E4A12EF"/>
    <w:rsid w:val="4E4A7541"/>
    <w:rsid w:val="4E4B32B9"/>
    <w:rsid w:val="4E4F4B57"/>
    <w:rsid w:val="4E50267E"/>
    <w:rsid w:val="4E5263F6"/>
    <w:rsid w:val="4E54216E"/>
    <w:rsid w:val="4E564138"/>
    <w:rsid w:val="4E571C5E"/>
    <w:rsid w:val="4E577EB0"/>
    <w:rsid w:val="4E5B22A2"/>
    <w:rsid w:val="4E5E2FEC"/>
    <w:rsid w:val="4E612ADD"/>
    <w:rsid w:val="4E61488B"/>
    <w:rsid w:val="4E616114"/>
    <w:rsid w:val="4E630603"/>
    <w:rsid w:val="4E6600F3"/>
    <w:rsid w:val="4E660AF6"/>
    <w:rsid w:val="4E663FE6"/>
    <w:rsid w:val="4E676345"/>
    <w:rsid w:val="4E685C19"/>
    <w:rsid w:val="4E6A373F"/>
    <w:rsid w:val="4E6F6FA8"/>
    <w:rsid w:val="4E704ACE"/>
    <w:rsid w:val="4E720846"/>
    <w:rsid w:val="4E7D306C"/>
    <w:rsid w:val="4E7E368F"/>
    <w:rsid w:val="4E810A89"/>
    <w:rsid w:val="4E83524B"/>
    <w:rsid w:val="4E8430D7"/>
    <w:rsid w:val="4E850579"/>
    <w:rsid w:val="4E853C5A"/>
    <w:rsid w:val="4E86609F"/>
    <w:rsid w:val="4E870795"/>
    <w:rsid w:val="4E881E17"/>
    <w:rsid w:val="4E8862BB"/>
    <w:rsid w:val="4E8B1908"/>
    <w:rsid w:val="4E8D5680"/>
    <w:rsid w:val="4E8F31A6"/>
    <w:rsid w:val="4E93713A"/>
    <w:rsid w:val="4E947DF5"/>
    <w:rsid w:val="4E9764FE"/>
    <w:rsid w:val="4E9904C8"/>
    <w:rsid w:val="4E9B5FEF"/>
    <w:rsid w:val="4E9C3B15"/>
    <w:rsid w:val="4E9E788D"/>
    <w:rsid w:val="4EB33338"/>
    <w:rsid w:val="4EB50242"/>
    <w:rsid w:val="4EB6029F"/>
    <w:rsid w:val="4EB60543"/>
    <w:rsid w:val="4EB66985"/>
    <w:rsid w:val="4EBC4081"/>
    <w:rsid w:val="4EBE7F2F"/>
    <w:rsid w:val="4ECA2430"/>
    <w:rsid w:val="4ECB6814"/>
    <w:rsid w:val="4ECC43FA"/>
    <w:rsid w:val="4ED02D42"/>
    <w:rsid w:val="4ED10F45"/>
    <w:rsid w:val="4ED11A10"/>
    <w:rsid w:val="4ED137BE"/>
    <w:rsid w:val="4ED35788"/>
    <w:rsid w:val="4ED4505D"/>
    <w:rsid w:val="4ED71C1D"/>
    <w:rsid w:val="4ED80FF1"/>
    <w:rsid w:val="4EDB52E8"/>
    <w:rsid w:val="4EE01C53"/>
    <w:rsid w:val="4EE23C1E"/>
    <w:rsid w:val="4EE259CC"/>
    <w:rsid w:val="4EE36998"/>
    <w:rsid w:val="4EE5084A"/>
    <w:rsid w:val="4EE77716"/>
    <w:rsid w:val="4EE94FAC"/>
    <w:rsid w:val="4EE96D5A"/>
    <w:rsid w:val="4EEA0D24"/>
    <w:rsid w:val="4EEA4880"/>
    <w:rsid w:val="4EED611E"/>
    <w:rsid w:val="4EEE046C"/>
    <w:rsid w:val="4EF456FF"/>
    <w:rsid w:val="4EF86F9D"/>
    <w:rsid w:val="4EFA0F67"/>
    <w:rsid w:val="4EFA4CD5"/>
    <w:rsid w:val="4EFD2805"/>
    <w:rsid w:val="4EFD45B3"/>
    <w:rsid w:val="4F0102B8"/>
    <w:rsid w:val="4F073684"/>
    <w:rsid w:val="4F075432"/>
    <w:rsid w:val="4F080806"/>
    <w:rsid w:val="4F0973FC"/>
    <w:rsid w:val="4F0C3F4E"/>
    <w:rsid w:val="4F0F42E7"/>
    <w:rsid w:val="4F11083B"/>
    <w:rsid w:val="4F161B19"/>
    <w:rsid w:val="4F195165"/>
    <w:rsid w:val="4F196F13"/>
    <w:rsid w:val="4F1A33B7"/>
    <w:rsid w:val="4F1B712F"/>
    <w:rsid w:val="4F1C60BB"/>
    <w:rsid w:val="4F1D2EA8"/>
    <w:rsid w:val="4F1D4C56"/>
    <w:rsid w:val="4F2006F8"/>
    <w:rsid w:val="4F204746"/>
    <w:rsid w:val="4F22226C"/>
    <w:rsid w:val="4F22401A"/>
    <w:rsid w:val="4F231B40"/>
    <w:rsid w:val="4F253B0A"/>
    <w:rsid w:val="4F2558B8"/>
    <w:rsid w:val="4F271630"/>
    <w:rsid w:val="4F2725BA"/>
    <w:rsid w:val="4F2935FA"/>
    <w:rsid w:val="4F2C4E99"/>
    <w:rsid w:val="4F2E0C11"/>
    <w:rsid w:val="4F2E29BF"/>
    <w:rsid w:val="4F2E6E63"/>
    <w:rsid w:val="4F302BDB"/>
    <w:rsid w:val="4F3124AF"/>
    <w:rsid w:val="4F316682"/>
    <w:rsid w:val="4F3479A3"/>
    <w:rsid w:val="4F3501F1"/>
    <w:rsid w:val="4F371833"/>
    <w:rsid w:val="4F377CE8"/>
    <w:rsid w:val="4F3D0E54"/>
    <w:rsid w:val="4F416B96"/>
    <w:rsid w:val="4F42117D"/>
    <w:rsid w:val="4F4246BC"/>
    <w:rsid w:val="4F42646A"/>
    <w:rsid w:val="4F451C00"/>
    <w:rsid w:val="4F4641AC"/>
    <w:rsid w:val="4F471CD3"/>
    <w:rsid w:val="4F48599F"/>
    <w:rsid w:val="4F495A4B"/>
    <w:rsid w:val="4F4D73F6"/>
    <w:rsid w:val="4F4F2BC1"/>
    <w:rsid w:val="4F50502B"/>
    <w:rsid w:val="4F5166AD"/>
    <w:rsid w:val="4F5368C9"/>
    <w:rsid w:val="4F541DCE"/>
    <w:rsid w:val="4F5421EB"/>
    <w:rsid w:val="4F560168"/>
    <w:rsid w:val="4F5A1A06"/>
    <w:rsid w:val="4F5B752C"/>
    <w:rsid w:val="4F602D94"/>
    <w:rsid w:val="4F604C84"/>
    <w:rsid w:val="4F6208BA"/>
    <w:rsid w:val="4F624D5E"/>
    <w:rsid w:val="4F642884"/>
    <w:rsid w:val="4F6603AB"/>
    <w:rsid w:val="4F672375"/>
    <w:rsid w:val="4F674123"/>
    <w:rsid w:val="4F691C49"/>
    <w:rsid w:val="4F6B59C1"/>
    <w:rsid w:val="4F6E3703"/>
    <w:rsid w:val="4F6E725F"/>
    <w:rsid w:val="4F722BA3"/>
    <w:rsid w:val="4F734876"/>
    <w:rsid w:val="4F7725B8"/>
    <w:rsid w:val="4F7A0880"/>
    <w:rsid w:val="4F7B710E"/>
    <w:rsid w:val="4F7C7BCE"/>
    <w:rsid w:val="4F813436"/>
    <w:rsid w:val="4F822D0B"/>
    <w:rsid w:val="4F8627FB"/>
    <w:rsid w:val="4F87507A"/>
    <w:rsid w:val="4F8B1D95"/>
    <w:rsid w:val="4F8D1DDB"/>
    <w:rsid w:val="4F9111A0"/>
    <w:rsid w:val="4F93316A"/>
    <w:rsid w:val="4F934F18"/>
    <w:rsid w:val="4F955415"/>
    <w:rsid w:val="4F9667B6"/>
    <w:rsid w:val="4F96706C"/>
    <w:rsid w:val="4F974A08"/>
    <w:rsid w:val="4F9A0054"/>
    <w:rsid w:val="4F9D5D96"/>
    <w:rsid w:val="4F9E6E5A"/>
    <w:rsid w:val="4F9F38BD"/>
    <w:rsid w:val="4FA03191"/>
    <w:rsid w:val="4FA060F5"/>
    <w:rsid w:val="4FA113E3"/>
    <w:rsid w:val="4FA42C81"/>
    <w:rsid w:val="4FA74664"/>
    <w:rsid w:val="4FB01626"/>
    <w:rsid w:val="4FB1539E"/>
    <w:rsid w:val="4FB235F0"/>
    <w:rsid w:val="4FB54AD1"/>
    <w:rsid w:val="4FB56C3C"/>
    <w:rsid w:val="4FBA1D77"/>
    <w:rsid w:val="4FBA24A4"/>
    <w:rsid w:val="4FBA49DA"/>
    <w:rsid w:val="4FBC446F"/>
    <w:rsid w:val="4FBE01E7"/>
    <w:rsid w:val="4FBF3F5F"/>
    <w:rsid w:val="4FBF5D0D"/>
    <w:rsid w:val="4FC52FE3"/>
    <w:rsid w:val="4FC6709B"/>
    <w:rsid w:val="4FC915F8"/>
    <w:rsid w:val="4FCB6460"/>
    <w:rsid w:val="4FCD042A"/>
    <w:rsid w:val="4FCD667C"/>
    <w:rsid w:val="4FCE3B2F"/>
    <w:rsid w:val="4FD23B5F"/>
    <w:rsid w:val="4FD35314"/>
    <w:rsid w:val="4FD55530"/>
    <w:rsid w:val="4FD572DE"/>
    <w:rsid w:val="4FD63062"/>
    <w:rsid w:val="4FD708C1"/>
    <w:rsid w:val="4FD73056"/>
    <w:rsid w:val="4FDC32A3"/>
    <w:rsid w:val="4FE45773"/>
    <w:rsid w:val="4FE4777A"/>
    <w:rsid w:val="4FE70DC0"/>
    <w:rsid w:val="4FE90FDC"/>
    <w:rsid w:val="4FEE03A0"/>
    <w:rsid w:val="4FEE214E"/>
    <w:rsid w:val="4FF04118"/>
    <w:rsid w:val="4FF77255"/>
    <w:rsid w:val="4FF82FCD"/>
    <w:rsid w:val="4FF97471"/>
    <w:rsid w:val="4FFC0D0F"/>
    <w:rsid w:val="4FFE503B"/>
    <w:rsid w:val="4FFF2DD7"/>
    <w:rsid w:val="4FFF6109"/>
    <w:rsid w:val="50007069"/>
    <w:rsid w:val="50011E81"/>
    <w:rsid w:val="5004101F"/>
    <w:rsid w:val="50041972"/>
    <w:rsid w:val="50066510"/>
    <w:rsid w:val="50081462"/>
    <w:rsid w:val="50083210"/>
    <w:rsid w:val="500951DA"/>
    <w:rsid w:val="500D0826"/>
    <w:rsid w:val="5012408F"/>
    <w:rsid w:val="50175B49"/>
    <w:rsid w:val="501871CB"/>
    <w:rsid w:val="501871E4"/>
    <w:rsid w:val="5019366F"/>
    <w:rsid w:val="501A73E7"/>
    <w:rsid w:val="501C6CBB"/>
    <w:rsid w:val="501E6ED7"/>
    <w:rsid w:val="50243DC2"/>
    <w:rsid w:val="502618E8"/>
    <w:rsid w:val="50267B3A"/>
    <w:rsid w:val="50281B04"/>
    <w:rsid w:val="50285660"/>
    <w:rsid w:val="502913D8"/>
    <w:rsid w:val="502A034E"/>
    <w:rsid w:val="502B6EFE"/>
    <w:rsid w:val="502D0EC8"/>
    <w:rsid w:val="50306C0B"/>
    <w:rsid w:val="503451AF"/>
    <w:rsid w:val="50373AF5"/>
    <w:rsid w:val="503C55AF"/>
    <w:rsid w:val="503E4E84"/>
    <w:rsid w:val="50421741"/>
    <w:rsid w:val="504601DC"/>
    <w:rsid w:val="50493828"/>
    <w:rsid w:val="50496E17"/>
    <w:rsid w:val="504A1A7A"/>
    <w:rsid w:val="504E4277"/>
    <w:rsid w:val="50504BB7"/>
    <w:rsid w:val="50506965"/>
    <w:rsid w:val="505226DD"/>
    <w:rsid w:val="50546455"/>
    <w:rsid w:val="505859C5"/>
    <w:rsid w:val="50597F0F"/>
    <w:rsid w:val="505C17AE"/>
    <w:rsid w:val="50610F7F"/>
    <w:rsid w:val="506239CC"/>
    <w:rsid w:val="5062469E"/>
    <w:rsid w:val="50630D8E"/>
    <w:rsid w:val="50642410"/>
    <w:rsid w:val="50642C43"/>
    <w:rsid w:val="506643DA"/>
    <w:rsid w:val="50675AED"/>
    <w:rsid w:val="506A211C"/>
    <w:rsid w:val="506B2AEC"/>
    <w:rsid w:val="506B379F"/>
    <w:rsid w:val="506C2F9A"/>
    <w:rsid w:val="506D540C"/>
    <w:rsid w:val="506F3038"/>
    <w:rsid w:val="507408A5"/>
    <w:rsid w:val="50744D49"/>
    <w:rsid w:val="5076286F"/>
    <w:rsid w:val="50766543"/>
    <w:rsid w:val="50772144"/>
    <w:rsid w:val="50795EBC"/>
    <w:rsid w:val="507C1E50"/>
    <w:rsid w:val="507C3BFE"/>
    <w:rsid w:val="507D4876"/>
    <w:rsid w:val="50827466"/>
    <w:rsid w:val="50874A7C"/>
    <w:rsid w:val="508825A3"/>
    <w:rsid w:val="508B3E41"/>
    <w:rsid w:val="508B5BEF"/>
    <w:rsid w:val="508C4A20"/>
    <w:rsid w:val="50903205"/>
    <w:rsid w:val="509122BF"/>
    <w:rsid w:val="50915F48"/>
    <w:rsid w:val="50940F47"/>
    <w:rsid w:val="50942CF5"/>
    <w:rsid w:val="50947199"/>
    <w:rsid w:val="50952DF2"/>
    <w:rsid w:val="50970A38"/>
    <w:rsid w:val="509C1BAA"/>
    <w:rsid w:val="509C7DFC"/>
    <w:rsid w:val="509E3B74"/>
    <w:rsid w:val="509F6E0B"/>
    <w:rsid w:val="50A32F39"/>
    <w:rsid w:val="50A373DC"/>
    <w:rsid w:val="50A61159"/>
    <w:rsid w:val="50A8054F"/>
    <w:rsid w:val="50A867A1"/>
    <w:rsid w:val="50AC1DF5"/>
    <w:rsid w:val="50AC44E3"/>
    <w:rsid w:val="50B11AF9"/>
    <w:rsid w:val="50B138A7"/>
    <w:rsid w:val="50B25872"/>
    <w:rsid w:val="50B769E4"/>
    <w:rsid w:val="50BB2978"/>
    <w:rsid w:val="50BB4726"/>
    <w:rsid w:val="50BC224C"/>
    <w:rsid w:val="50BC3FFA"/>
    <w:rsid w:val="50BF0A14"/>
    <w:rsid w:val="50C10D15"/>
    <w:rsid w:val="50C24D76"/>
    <w:rsid w:val="50C335DB"/>
    <w:rsid w:val="50C35389"/>
    <w:rsid w:val="50C555A5"/>
    <w:rsid w:val="50C730CB"/>
    <w:rsid w:val="50C8299F"/>
    <w:rsid w:val="50C971DB"/>
    <w:rsid w:val="50CA4969"/>
    <w:rsid w:val="50CF01D2"/>
    <w:rsid w:val="50CF1F80"/>
    <w:rsid w:val="50D21A70"/>
    <w:rsid w:val="50D6330E"/>
    <w:rsid w:val="50DE21C3"/>
    <w:rsid w:val="50E023DF"/>
    <w:rsid w:val="50E133DE"/>
    <w:rsid w:val="50E377D9"/>
    <w:rsid w:val="50E53551"/>
    <w:rsid w:val="50EA500B"/>
    <w:rsid w:val="50EA74A0"/>
    <w:rsid w:val="50EC0D83"/>
    <w:rsid w:val="50EE2C05"/>
    <w:rsid w:val="50F07683"/>
    <w:rsid w:val="50F32112"/>
    <w:rsid w:val="50F33EC0"/>
    <w:rsid w:val="50F47C38"/>
    <w:rsid w:val="50F622C8"/>
    <w:rsid w:val="50FC089B"/>
    <w:rsid w:val="50FF2147"/>
    <w:rsid w:val="510F05CE"/>
    <w:rsid w:val="51112598"/>
    <w:rsid w:val="511430D4"/>
    <w:rsid w:val="51166F3E"/>
    <w:rsid w:val="511856D5"/>
    <w:rsid w:val="511A58F1"/>
    <w:rsid w:val="511B3417"/>
    <w:rsid w:val="511D2CEB"/>
    <w:rsid w:val="511E4CB5"/>
    <w:rsid w:val="512247A5"/>
    <w:rsid w:val="51257DF2"/>
    <w:rsid w:val="512623EC"/>
    <w:rsid w:val="51295B34"/>
    <w:rsid w:val="512978E2"/>
    <w:rsid w:val="512A5408"/>
    <w:rsid w:val="512B3E20"/>
    <w:rsid w:val="512C1180"/>
    <w:rsid w:val="51316332"/>
    <w:rsid w:val="51372589"/>
    <w:rsid w:val="513A2283"/>
    <w:rsid w:val="513B13C3"/>
    <w:rsid w:val="513D15DF"/>
    <w:rsid w:val="513E0EB3"/>
    <w:rsid w:val="513E2539"/>
    <w:rsid w:val="513F7105"/>
    <w:rsid w:val="514069D9"/>
    <w:rsid w:val="51435F5B"/>
    <w:rsid w:val="5147420C"/>
    <w:rsid w:val="51475FBA"/>
    <w:rsid w:val="51491D32"/>
    <w:rsid w:val="514A5BAD"/>
    <w:rsid w:val="514C35D0"/>
    <w:rsid w:val="514C537E"/>
    <w:rsid w:val="514D1BDE"/>
    <w:rsid w:val="514E7348"/>
    <w:rsid w:val="514F70CF"/>
    <w:rsid w:val="51532BB1"/>
    <w:rsid w:val="515406D7"/>
    <w:rsid w:val="515D3A2F"/>
    <w:rsid w:val="515D57DD"/>
    <w:rsid w:val="515E50B1"/>
    <w:rsid w:val="516052CE"/>
    <w:rsid w:val="51644DBE"/>
    <w:rsid w:val="51646B6C"/>
    <w:rsid w:val="51647E65"/>
    <w:rsid w:val="51656440"/>
    <w:rsid w:val="5167040A"/>
    <w:rsid w:val="5167665C"/>
    <w:rsid w:val="516923D4"/>
    <w:rsid w:val="516C3C72"/>
    <w:rsid w:val="516C70A1"/>
    <w:rsid w:val="51714DE5"/>
    <w:rsid w:val="517174DB"/>
    <w:rsid w:val="5172503A"/>
    <w:rsid w:val="51735001"/>
    <w:rsid w:val="51736DAF"/>
    <w:rsid w:val="517843C5"/>
    <w:rsid w:val="51791EEB"/>
    <w:rsid w:val="517D4C1A"/>
    <w:rsid w:val="517D7C2E"/>
    <w:rsid w:val="5180763E"/>
    <w:rsid w:val="5181771E"/>
    <w:rsid w:val="51825244"/>
    <w:rsid w:val="51836A8D"/>
    <w:rsid w:val="5187285A"/>
    <w:rsid w:val="51894260"/>
    <w:rsid w:val="518C07B2"/>
    <w:rsid w:val="518E5997"/>
    <w:rsid w:val="51962A9D"/>
    <w:rsid w:val="51986815"/>
    <w:rsid w:val="519B6306"/>
    <w:rsid w:val="519D207E"/>
    <w:rsid w:val="519D5BDA"/>
    <w:rsid w:val="51A056CA"/>
    <w:rsid w:val="51A21548"/>
    <w:rsid w:val="51A258E6"/>
    <w:rsid w:val="51A82756"/>
    <w:rsid w:val="51AF240B"/>
    <w:rsid w:val="51B03B5F"/>
    <w:rsid w:val="51B11685"/>
    <w:rsid w:val="51B16972"/>
    <w:rsid w:val="51B51175"/>
    <w:rsid w:val="51B560A0"/>
    <w:rsid w:val="51B80C66"/>
    <w:rsid w:val="51BA2C30"/>
    <w:rsid w:val="51BA49DE"/>
    <w:rsid w:val="51BA678C"/>
    <w:rsid w:val="51BF3641"/>
    <w:rsid w:val="51BF3DA2"/>
    <w:rsid w:val="51C21AE4"/>
    <w:rsid w:val="51C21DA4"/>
    <w:rsid w:val="51C27D36"/>
    <w:rsid w:val="51C63383"/>
    <w:rsid w:val="51C70EA9"/>
    <w:rsid w:val="51CC5C45"/>
    <w:rsid w:val="51CD386F"/>
    <w:rsid w:val="51CE0489"/>
    <w:rsid w:val="51D04C73"/>
    <w:rsid w:val="51D05FAF"/>
    <w:rsid w:val="51D33CF1"/>
    <w:rsid w:val="51D57A6A"/>
    <w:rsid w:val="51D6733E"/>
    <w:rsid w:val="51DA038A"/>
    <w:rsid w:val="51DC0DF8"/>
    <w:rsid w:val="51DC10D5"/>
    <w:rsid w:val="51DD06CC"/>
    <w:rsid w:val="51E101BC"/>
    <w:rsid w:val="51E11F6A"/>
    <w:rsid w:val="51E25CE3"/>
    <w:rsid w:val="51E43809"/>
    <w:rsid w:val="51E952C3"/>
    <w:rsid w:val="51EB103B"/>
    <w:rsid w:val="51EB4B97"/>
    <w:rsid w:val="51EB7A38"/>
    <w:rsid w:val="51ED6B61"/>
    <w:rsid w:val="51EF3262"/>
    <w:rsid w:val="51F06651"/>
    <w:rsid w:val="51F36142"/>
    <w:rsid w:val="51F42B99"/>
    <w:rsid w:val="51F577C4"/>
    <w:rsid w:val="51F6353C"/>
    <w:rsid w:val="51F83758"/>
    <w:rsid w:val="51F872B4"/>
    <w:rsid w:val="51FB0B52"/>
    <w:rsid w:val="51FC4FF6"/>
    <w:rsid w:val="51FC6DA4"/>
    <w:rsid w:val="52020133"/>
    <w:rsid w:val="520619D1"/>
    <w:rsid w:val="520B2BCB"/>
    <w:rsid w:val="520D0FB1"/>
    <w:rsid w:val="52140592"/>
    <w:rsid w:val="521560B8"/>
    <w:rsid w:val="52173BDE"/>
    <w:rsid w:val="52181704"/>
    <w:rsid w:val="52195BA8"/>
    <w:rsid w:val="521A547C"/>
    <w:rsid w:val="521C7446"/>
    <w:rsid w:val="521D6D1B"/>
    <w:rsid w:val="521E31BF"/>
    <w:rsid w:val="521F6F37"/>
    <w:rsid w:val="522400A9"/>
    <w:rsid w:val="5224454D"/>
    <w:rsid w:val="522462FB"/>
    <w:rsid w:val="522602C5"/>
    <w:rsid w:val="52293911"/>
    <w:rsid w:val="522A45EE"/>
    <w:rsid w:val="52302EF2"/>
    <w:rsid w:val="52326C6A"/>
    <w:rsid w:val="52372CD0"/>
    <w:rsid w:val="52374280"/>
    <w:rsid w:val="5237602E"/>
    <w:rsid w:val="52383B54"/>
    <w:rsid w:val="523875ED"/>
    <w:rsid w:val="523C1897"/>
    <w:rsid w:val="523C53F3"/>
    <w:rsid w:val="523E73BD"/>
    <w:rsid w:val="524073F6"/>
    <w:rsid w:val="52410C5B"/>
    <w:rsid w:val="52426781"/>
    <w:rsid w:val="524349D3"/>
    <w:rsid w:val="52446492"/>
    <w:rsid w:val="52457280"/>
    <w:rsid w:val="52500E9E"/>
    <w:rsid w:val="52516C3A"/>
    <w:rsid w:val="5252180B"/>
    <w:rsid w:val="5255018C"/>
    <w:rsid w:val="52552958"/>
    <w:rsid w:val="5257222D"/>
    <w:rsid w:val="525766D1"/>
    <w:rsid w:val="525941F7"/>
    <w:rsid w:val="52595FA5"/>
    <w:rsid w:val="525A7F6F"/>
    <w:rsid w:val="525E7A5F"/>
    <w:rsid w:val="525F10E1"/>
    <w:rsid w:val="525F5585"/>
    <w:rsid w:val="526130AB"/>
    <w:rsid w:val="52631DBC"/>
    <w:rsid w:val="52635075"/>
    <w:rsid w:val="52662470"/>
    <w:rsid w:val="52666914"/>
    <w:rsid w:val="526826F8"/>
    <w:rsid w:val="52686602"/>
    <w:rsid w:val="526B3F7F"/>
    <w:rsid w:val="526B5CD8"/>
    <w:rsid w:val="527032EE"/>
    <w:rsid w:val="527279DC"/>
    <w:rsid w:val="52736AD7"/>
    <w:rsid w:val="52744671"/>
    <w:rsid w:val="52756B57"/>
    <w:rsid w:val="52770B21"/>
    <w:rsid w:val="527821A3"/>
    <w:rsid w:val="52796647"/>
    <w:rsid w:val="527A2FDA"/>
    <w:rsid w:val="527B72D6"/>
    <w:rsid w:val="527C1C93"/>
    <w:rsid w:val="527C7EE5"/>
    <w:rsid w:val="527F70E7"/>
    <w:rsid w:val="5281374D"/>
    <w:rsid w:val="52833022"/>
    <w:rsid w:val="5288688A"/>
    <w:rsid w:val="528A2602"/>
    <w:rsid w:val="528D3EA0"/>
    <w:rsid w:val="528E32B1"/>
    <w:rsid w:val="52911BE2"/>
    <w:rsid w:val="52943481"/>
    <w:rsid w:val="52950FA7"/>
    <w:rsid w:val="52974D1F"/>
    <w:rsid w:val="52976ACD"/>
    <w:rsid w:val="52992845"/>
    <w:rsid w:val="529C31D4"/>
    <w:rsid w:val="529E42FF"/>
    <w:rsid w:val="52A35472"/>
    <w:rsid w:val="52A631B4"/>
    <w:rsid w:val="52A95361"/>
    <w:rsid w:val="52AA2CA4"/>
    <w:rsid w:val="52AD009F"/>
    <w:rsid w:val="52AE35F5"/>
    <w:rsid w:val="52AF2069"/>
    <w:rsid w:val="52B01536"/>
    <w:rsid w:val="52C11D9C"/>
    <w:rsid w:val="52C37826"/>
    <w:rsid w:val="52CA50F4"/>
    <w:rsid w:val="52CD6993"/>
    <w:rsid w:val="52CF270B"/>
    <w:rsid w:val="52D710DE"/>
    <w:rsid w:val="52D715BF"/>
    <w:rsid w:val="52D7511B"/>
    <w:rsid w:val="52DB10B0"/>
    <w:rsid w:val="52E127FD"/>
    <w:rsid w:val="52E361B6"/>
    <w:rsid w:val="52E55A8A"/>
    <w:rsid w:val="52E635B0"/>
    <w:rsid w:val="52EC506B"/>
    <w:rsid w:val="52EF33EC"/>
    <w:rsid w:val="52EF4B5B"/>
    <w:rsid w:val="52EF6909"/>
    <w:rsid w:val="52F061DD"/>
    <w:rsid w:val="52F1442F"/>
    <w:rsid w:val="52F42171"/>
    <w:rsid w:val="52F42805"/>
    <w:rsid w:val="52F43F1F"/>
    <w:rsid w:val="52F61A46"/>
    <w:rsid w:val="52F91536"/>
    <w:rsid w:val="52FB705C"/>
    <w:rsid w:val="53000B16"/>
    <w:rsid w:val="5302247A"/>
    <w:rsid w:val="5302488E"/>
    <w:rsid w:val="53051C89"/>
    <w:rsid w:val="53071EA5"/>
    <w:rsid w:val="53073C53"/>
    <w:rsid w:val="53081779"/>
    <w:rsid w:val="530879CB"/>
    <w:rsid w:val="530C1269"/>
    <w:rsid w:val="530D6D8F"/>
    <w:rsid w:val="53105563"/>
    <w:rsid w:val="531225F7"/>
    <w:rsid w:val="53155374"/>
    <w:rsid w:val="53163E96"/>
    <w:rsid w:val="53165C44"/>
    <w:rsid w:val="53185E60"/>
    <w:rsid w:val="53195734"/>
    <w:rsid w:val="531C6FD2"/>
    <w:rsid w:val="531D3476"/>
    <w:rsid w:val="53230E08"/>
    <w:rsid w:val="532365B3"/>
    <w:rsid w:val="53273CEB"/>
    <w:rsid w:val="532753A2"/>
    <w:rsid w:val="532A5B93"/>
    <w:rsid w:val="532C36B9"/>
    <w:rsid w:val="532E5683"/>
    <w:rsid w:val="532E7431"/>
    <w:rsid w:val="53315390"/>
    <w:rsid w:val="53316F22"/>
    <w:rsid w:val="533407C0"/>
    <w:rsid w:val="53341D8D"/>
    <w:rsid w:val="53363328"/>
    <w:rsid w:val="53364538"/>
    <w:rsid w:val="533662E6"/>
    <w:rsid w:val="5338205E"/>
    <w:rsid w:val="53395F60"/>
    <w:rsid w:val="533A5121"/>
    <w:rsid w:val="533B1B4E"/>
    <w:rsid w:val="533B56AA"/>
    <w:rsid w:val="533B6A27"/>
    <w:rsid w:val="533F163E"/>
    <w:rsid w:val="53400F13"/>
    <w:rsid w:val="534053B7"/>
    <w:rsid w:val="53407165"/>
    <w:rsid w:val="53425BB0"/>
    <w:rsid w:val="5349426B"/>
    <w:rsid w:val="534B0C47"/>
    <w:rsid w:val="534D3630"/>
    <w:rsid w:val="534F1156"/>
    <w:rsid w:val="53511372"/>
    <w:rsid w:val="535449BE"/>
    <w:rsid w:val="535B2E50"/>
    <w:rsid w:val="535E583D"/>
    <w:rsid w:val="5360776D"/>
    <w:rsid w:val="53665056"/>
    <w:rsid w:val="536C1D08"/>
    <w:rsid w:val="53715570"/>
    <w:rsid w:val="53715C7B"/>
    <w:rsid w:val="537261AA"/>
    <w:rsid w:val="5373753A"/>
    <w:rsid w:val="53740BBC"/>
    <w:rsid w:val="53764934"/>
    <w:rsid w:val="53784B50"/>
    <w:rsid w:val="537A08C9"/>
    <w:rsid w:val="537B1F4B"/>
    <w:rsid w:val="537E06BD"/>
    <w:rsid w:val="537F53F8"/>
    <w:rsid w:val="538057B3"/>
    <w:rsid w:val="538378C5"/>
    <w:rsid w:val="538B4884"/>
    <w:rsid w:val="538C23AA"/>
    <w:rsid w:val="538E1C7E"/>
    <w:rsid w:val="538F6867"/>
    <w:rsid w:val="53937294"/>
    <w:rsid w:val="53964FD7"/>
    <w:rsid w:val="53986FA1"/>
    <w:rsid w:val="539B25ED"/>
    <w:rsid w:val="539D112E"/>
    <w:rsid w:val="539D45B7"/>
    <w:rsid w:val="539E2439"/>
    <w:rsid w:val="53A414A2"/>
    <w:rsid w:val="53A42E43"/>
    <w:rsid w:val="53A616BE"/>
    <w:rsid w:val="53A71EEB"/>
    <w:rsid w:val="53A72D40"/>
    <w:rsid w:val="53A849CE"/>
    <w:rsid w:val="53A96AB8"/>
    <w:rsid w:val="53B11368"/>
    <w:rsid w:val="53B13BBE"/>
    <w:rsid w:val="53B32F48"/>
    <w:rsid w:val="53B37737"/>
    <w:rsid w:val="53B84F4D"/>
    <w:rsid w:val="53B86CFB"/>
    <w:rsid w:val="53BA0CC5"/>
    <w:rsid w:val="53BC6F28"/>
    <w:rsid w:val="53BD6A07"/>
    <w:rsid w:val="53BE072D"/>
    <w:rsid w:val="53BF0089"/>
    <w:rsid w:val="53C25DCC"/>
    <w:rsid w:val="53C41B44"/>
    <w:rsid w:val="53C47D96"/>
    <w:rsid w:val="53C5091A"/>
    <w:rsid w:val="53C71634"/>
    <w:rsid w:val="53CE29C2"/>
    <w:rsid w:val="53CE4770"/>
    <w:rsid w:val="53D33B35"/>
    <w:rsid w:val="53D878B8"/>
    <w:rsid w:val="53DC50DF"/>
    <w:rsid w:val="53DE6035"/>
    <w:rsid w:val="53DE7AC9"/>
    <w:rsid w:val="53DF24DA"/>
    <w:rsid w:val="53E21FCA"/>
    <w:rsid w:val="53E411F3"/>
    <w:rsid w:val="53E421E6"/>
    <w:rsid w:val="53EA0E7E"/>
    <w:rsid w:val="53EC4BF7"/>
    <w:rsid w:val="53EE4E13"/>
    <w:rsid w:val="53F1220D"/>
    <w:rsid w:val="53F341D7"/>
    <w:rsid w:val="53F73CC7"/>
    <w:rsid w:val="53FA7313"/>
    <w:rsid w:val="53FA753D"/>
    <w:rsid w:val="53FC12DE"/>
    <w:rsid w:val="53FD32A8"/>
    <w:rsid w:val="540255D9"/>
    <w:rsid w:val="54031D7A"/>
    <w:rsid w:val="54071A30"/>
    <w:rsid w:val="540C5D72"/>
    <w:rsid w:val="540D7539"/>
    <w:rsid w:val="541303D5"/>
    <w:rsid w:val="54134879"/>
    <w:rsid w:val="54136627"/>
    <w:rsid w:val="541923D0"/>
    <w:rsid w:val="541F321E"/>
    <w:rsid w:val="54212AF2"/>
    <w:rsid w:val="54260108"/>
    <w:rsid w:val="54273E81"/>
    <w:rsid w:val="54280325"/>
    <w:rsid w:val="542919A7"/>
    <w:rsid w:val="542B571F"/>
    <w:rsid w:val="542C12AC"/>
    <w:rsid w:val="542D593B"/>
    <w:rsid w:val="54316AAD"/>
    <w:rsid w:val="54372316"/>
    <w:rsid w:val="543842E0"/>
    <w:rsid w:val="543A2E4A"/>
    <w:rsid w:val="543A5126"/>
    <w:rsid w:val="543D5452"/>
    <w:rsid w:val="54414F42"/>
    <w:rsid w:val="544467E1"/>
    <w:rsid w:val="54455CD4"/>
    <w:rsid w:val="544762D1"/>
    <w:rsid w:val="54482775"/>
    <w:rsid w:val="544B4013"/>
    <w:rsid w:val="544C2EF8"/>
    <w:rsid w:val="544D59FD"/>
    <w:rsid w:val="544E765F"/>
    <w:rsid w:val="54501629"/>
    <w:rsid w:val="5452714F"/>
    <w:rsid w:val="5454111A"/>
    <w:rsid w:val="545509EE"/>
    <w:rsid w:val="54556C40"/>
    <w:rsid w:val="54571044"/>
    <w:rsid w:val="545729B8"/>
    <w:rsid w:val="545804DE"/>
    <w:rsid w:val="54596730"/>
    <w:rsid w:val="545A7810"/>
    <w:rsid w:val="546450D5"/>
    <w:rsid w:val="54662BFB"/>
    <w:rsid w:val="54664A59"/>
    <w:rsid w:val="546A6B00"/>
    <w:rsid w:val="546C379C"/>
    <w:rsid w:val="546C5152"/>
    <w:rsid w:val="546D5D37"/>
    <w:rsid w:val="5472334E"/>
    <w:rsid w:val="5474356A"/>
    <w:rsid w:val="54751090"/>
    <w:rsid w:val="54774E08"/>
    <w:rsid w:val="547C241E"/>
    <w:rsid w:val="547F3CBD"/>
    <w:rsid w:val="54815C87"/>
    <w:rsid w:val="548337AD"/>
    <w:rsid w:val="54866DF9"/>
    <w:rsid w:val="548B440F"/>
    <w:rsid w:val="548E5CAE"/>
    <w:rsid w:val="54905ECA"/>
    <w:rsid w:val="54907C78"/>
    <w:rsid w:val="54931516"/>
    <w:rsid w:val="549459BA"/>
    <w:rsid w:val="54992FD0"/>
    <w:rsid w:val="549C661D"/>
    <w:rsid w:val="549D4B07"/>
    <w:rsid w:val="549E05E7"/>
    <w:rsid w:val="549F7EBB"/>
    <w:rsid w:val="54A067F2"/>
    <w:rsid w:val="54AD25D8"/>
    <w:rsid w:val="54B03E76"/>
    <w:rsid w:val="54B10B69"/>
    <w:rsid w:val="54B5164D"/>
    <w:rsid w:val="54B73456"/>
    <w:rsid w:val="54BA402F"/>
    <w:rsid w:val="54BC6CBF"/>
    <w:rsid w:val="54C47921"/>
    <w:rsid w:val="54C546A4"/>
    <w:rsid w:val="54C76717"/>
    <w:rsid w:val="54C94F38"/>
    <w:rsid w:val="54CA13DC"/>
    <w:rsid w:val="54CC5154"/>
    <w:rsid w:val="54D04518"/>
    <w:rsid w:val="54D1276A"/>
    <w:rsid w:val="54D30127"/>
    <w:rsid w:val="54D357A1"/>
    <w:rsid w:val="54D81E62"/>
    <w:rsid w:val="54D9161F"/>
    <w:rsid w:val="54D933CD"/>
    <w:rsid w:val="54D97871"/>
    <w:rsid w:val="54DF51CB"/>
    <w:rsid w:val="54E67898"/>
    <w:rsid w:val="54E81862"/>
    <w:rsid w:val="54ED50CA"/>
    <w:rsid w:val="54F40207"/>
    <w:rsid w:val="54F75F49"/>
    <w:rsid w:val="54F77CF7"/>
    <w:rsid w:val="54FB1595"/>
    <w:rsid w:val="54FE79E1"/>
    <w:rsid w:val="550310E3"/>
    <w:rsid w:val="550479F9"/>
    <w:rsid w:val="55061CE8"/>
    <w:rsid w:val="550739C3"/>
    <w:rsid w:val="55081F04"/>
    <w:rsid w:val="55085A60"/>
    <w:rsid w:val="550A7A2A"/>
    <w:rsid w:val="550B5550"/>
    <w:rsid w:val="550C37A2"/>
    <w:rsid w:val="550D3076"/>
    <w:rsid w:val="550F3292"/>
    <w:rsid w:val="550F5041"/>
    <w:rsid w:val="55110DB9"/>
    <w:rsid w:val="55164621"/>
    <w:rsid w:val="55175CA3"/>
    <w:rsid w:val="55180399"/>
    <w:rsid w:val="55191A1B"/>
    <w:rsid w:val="55197C6D"/>
    <w:rsid w:val="551C150B"/>
    <w:rsid w:val="551F5DD8"/>
    <w:rsid w:val="55222FC6"/>
    <w:rsid w:val="55264138"/>
    <w:rsid w:val="5527238A"/>
    <w:rsid w:val="552C79A0"/>
    <w:rsid w:val="55314FB7"/>
    <w:rsid w:val="55326F81"/>
    <w:rsid w:val="553625CD"/>
    <w:rsid w:val="553700F3"/>
    <w:rsid w:val="55393E6B"/>
    <w:rsid w:val="553C57C6"/>
    <w:rsid w:val="553D7E00"/>
    <w:rsid w:val="553E52D5"/>
    <w:rsid w:val="553E76D4"/>
    <w:rsid w:val="554054D5"/>
    <w:rsid w:val="5543118E"/>
    <w:rsid w:val="554650C9"/>
    <w:rsid w:val="55472B6C"/>
    <w:rsid w:val="554967A4"/>
    <w:rsid w:val="554A6079"/>
    <w:rsid w:val="554B78CD"/>
    <w:rsid w:val="554D7917"/>
    <w:rsid w:val="554F368F"/>
    <w:rsid w:val="5551092C"/>
    <w:rsid w:val="55545149"/>
    <w:rsid w:val="5555355C"/>
    <w:rsid w:val="55572544"/>
    <w:rsid w:val="555D3FFE"/>
    <w:rsid w:val="55621614"/>
    <w:rsid w:val="556233C2"/>
    <w:rsid w:val="55627866"/>
    <w:rsid w:val="55630EE8"/>
    <w:rsid w:val="5565242B"/>
    <w:rsid w:val="55654C60"/>
    <w:rsid w:val="556709D9"/>
    <w:rsid w:val="55684751"/>
    <w:rsid w:val="5573200D"/>
    <w:rsid w:val="557430F6"/>
    <w:rsid w:val="55760C1C"/>
    <w:rsid w:val="55780E38"/>
    <w:rsid w:val="557903BA"/>
    <w:rsid w:val="55805F3E"/>
    <w:rsid w:val="55821CB6"/>
    <w:rsid w:val="558275C0"/>
    <w:rsid w:val="55834138"/>
    <w:rsid w:val="55853555"/>
    <w:rsid w:val="558B0EF2"/>
    <w:rsid w:val="558C1CB9"/>
    <w:rsid w:val="558C48E3"/>
    <w:rsid w:val="558D768C"/>
    <w:rsid w:val="55913CA7"/>
    <w:rsid w:val="55937A20"/>
    <w:rsid w:val="5596306C"/>
    <w:rsid w:val="55986DE4"/>
    <w:rsid w:val="55990DAE"/>
    <w:rsid w:val="55991528"/>
    <w:rsid w:val="559B0682"/>
    <w:rsid w:val="559E0172"/>
    <w:rsid w:val="55A21A11"/>
    <w:rsid w:val="55A51501"/>
    <w:rsid w:val="55A663B8"/>
    <w:rsid w:val="55AA2FBB"/>
    <w:rsid w:val="55B313A7"/>
    <w:rsid w:val="55B41744"/>
    <w:rsid w:val="55B94FAC"/>
    <w:rsid w:val="55BA1450"/>
    <w:rsid w:val="55BB2AD2"/>
    <w:rsid w:val="55BD3186"/>
    <w:rsid w:val="55BD684B"/>
    <w:rsid w:val="55C027DF"/>
    <w:rsid w:val="55C0458D"/>
    <w:rsid w:val="55C20305"/>
    <w:rsid w:val="55C51BA3"/>
    <w:rsid w:val="55C94D0E"/>
    <w:rsid w:val="55CA71B9"/>
    <w:rsid w:val="55CC1183"/>
    <w:rsid w:val="55D02A22"/>
    <w:rsid w:val="55D122F6"/>
    <w:rsid w:val="55D50038"/>
    <w:rsid w:val="55D81C32"/>
    <w:rsid w:val="55D83684"/>
    <w:rsid w:val="55DA2224"/>
    <w:rsid w:val="55DB1CF4"/>
    <w:rsid w:val="55DF2C65"/>
    <w:rsid w:val="55E01B05"/>
    <w:rsid w:val="55E11108"/>
    <w:rsid w:val="55E21F54"/>
    <w:rsid w:val="55E24F3A"/>
    <w:rsid w:val="55E71B19"/>
    <w:rsid w:val="55E95892"/>
    <w:rsid w:val="55EA33B8"/>
    <w:rsid w:val="55EB160A"/>
    <w:rsid w:val="55EC7130"/>
    <w:rsid w:val="55EF0D20"/>
    <w:rsid w:val="55F14746"/>
    <w:rsid w:val="55FA7D1B"/>
    <w:rsid w:val="56091A90"/>
    <w:rsid w:val="560A3631"/>
    <w:rsid w:val="560B1CAC"/>
    <w:rsid w:val="560C332E"/>
    <w:rsid w:val="56105EF9"/>
    <w:rsid w:val="56195DC5"/>
    <w:rsid w:val="561E498D"/>
    <w:rsid w:val="56205935"/>
    <w:rsid w:val="56206DD9"/>
    <w:rsid w:val="56262642"/>
    <w:rsid w:val="5627572A"/>
    <w:rsid w:val="56280330"/>
    <w:rsid w:val="56290384"/>
    <w:rsid w:val="562C0F0B"/>
    <w:rsid w:val="562C277F"/>
    <w:rsid w:val="562C39D0"/>
    <w:rsid w:val="562C577E"/>
    <w:rsid w:val="562E599A"/>
    <w:rsid w:val="562E7748"/>
    <w:rsid w:val="56312D95"/>
    <w:rsid w:val="56350AD7"/>
    <w:rsid w:val="563A60ED"/>
    <w:rsid w:val="563C00B7"/>
    <w:rsid w:val="563C1E65"/>
    <w:rsid w:val="563D0F57"/>
    <w:rsid w:val="563D3E2F"/>
    <w:rsid w:val="564231F4"/>
    <w:rsid w:val="564927D4"/>
    <w:rsid w:val="565151E5"/>
    <w:rsid w:val="56521E26"/>
    <w:rsid w:val="56530F5D"/>
    <w:rsid w:val="56551179"/>
    <w:rsid w:val="565677E3"/>
    <w:rsid w:val="565730C7"/>
    <w:rsid w:val="56574EF1"/>
    <w:rsid w:val="56576C9F"/>
    <w:rsid w:val="565A053D"/>
    <w:rsid w:val="565A22EB"/>
    <w:rsid w:val="565A678F"/>
    <w:rsid w:val="565D1DDC"/>
    <w:rsid w:val="56625644"/>
    <w:rsid w:val="56666EE2"/>
    <w:rsid w:val="566B62A7"/>
    <w:rsid w:val="566D0271"/>
    <w:rsid w:val="566E223B"/>
    <w:rsid w:val="5671771B"/>
    <w:rsid w:val="567425EF"/>
    <w:rsid w:val="567809C3"/>
    <w:rsid w:val="567966F2"/>
    <w:rsid w:val="567A473C"/>
    <w:rsid w:val="567F61F6"/>
    <w:rsid w:val="56803629"/>
    <w:rsid w:val="56847368"/>
    <w:rsid w:val="56861332"/>
    <w:rsid w:val="5689497F"/>
    <w:rsid w:val="568D26C1"/>
    <w:rsid w:val="568F468B"/>
    <w:rsid w:val="56903F5F"/>
    <w:rsid w:val="56925F29"/>
    <w:rsid w:val="56927CD7"/>
    <w:rsid w:val="56951575"/>
    <w:rsid w:val="569752EE"/>
    <w:rsid w:val="56975989"/>
    <w:rsid w:val="5697709C"/>
    <w:rsid w:val="56983E3A"/>
    <w:rsid w:val="5699516F"/>
    <w:rsid w:val="569A4DDE"/>
    <w:rsid w:val="569A6B8C"/>
    <w:rsid w:val="569C6DA8"/>
    <w:rsid w:val="569E48CE"/>
    <w:rsid w:val="569F41A2"/>
    <w:rsid w:val="569F5204"/>
    <w:rsid w:val="56A40F80"/>
    <w:rsid w:val="56A73C13"/>
    <w:rsid w:val="56A909B6"/>
    <w:rsid w:val="56B063AF"/>
    <w:rsid w:val="56B23ED5"/>
    <w:rsid w:val="56B539C6"/>
    <w:rsid w:val="56B7773E"/>
    <w:rsid w:val="56BA0FDC"/>
    <w:rsid w:val="56BD287A"/>
    <w:rsid w:val="56BF65F2"/>
    <w:rsid w:val="56C1680E"/>
    <w:rsid w:val="56C34335"/>
    <w:rsid w:val="56C43C09"/>
    <w:rsid w:val="56C449A6"/>
    <w:rsid w:val="56CC3C4A"/>
    <w:rsid w:val="56CD0D0F"/>
    <w:rsid w:val="56CD6F61"/>
    <w:rsid w:val="56D06A51"/>
    <w:rsid w:val="56D16FAA"/>
    <w:rsid w:val="56D206C2"/>
    <w:rsid w:val="56D46542"/>
    <w:rsid w:val="56DA167E"/>
    <w:rsid w:val="56DA342C"/>
    <w:rsid w:val="56DB78D0"/>
    <w:rsid w:val="56DE4CCA"/>
    <w:rsid w:val="56DF0A43"/>
    <w:rsid w:val="56DF15AE"/>
    <w:rsid w:val="56DF6C95"/>
    <w:rsid w:val="56E10C5F"/>
    <w:rsid w:val="56E12A0D"/>
    <w:rsid w:val="56E30A23"/>
    <w:rsid w:val="56E524FD"/>
    <w:rsid w:val="56E5704A"/>
    <w:rsid w:val="56E64437"/>
    <w:rsid w:val="56E805A7"/>
    <w:rsid w:val="56EB388B"/>
    <w:rsid w:val="56EB5639"/>
    <w:rsid w:val="56EC5EB2"/>
    <w:rsid w:val="56ED315F"/>
    <w:rsid w:val="56F52014"/>
    <w:rsid w:val="56F64651"/>
    <w:rsid w:val="56F72230"/>
    <w:rsid w:val="56F805D3"/>
    <w:rsid w:val="56F9482C"/>
    <w:rsid w:val="56F95FA8"/>
    <w:rsid w:val="56FA587C"/>
    <w:rsid w:val="56FA762A"/>
    <w:rsid w:val="56FB1D20"/>
    <w:rsid w:val="56FC15F5"/>
    <w:rsid w:val="56FC36A7"/>
    <w:rsid w:val="56FC7846"/>
    <w:rsid w:val="56FE35BF"/>
    <w:rsid w:val="570010E5"/>
    <w:rsid w:val="57030BD5"/>
    <w:rsid w:val="570A1F63"/>
    <w:rsid w:val="570A3D11"/>
    <w:rsid w:val="570D3802"/>
    <w:rsid w:val="57120E18"/>
    <w:rsid w:val="57122BC6"/>
    <w:rsid w:val="571433BA"/>
    <w:rsid w:val="5714693E"/>
    <w:rsid w:val="571903F8"/>
    <w:rsid w:val="57193F55"/>
    <w:rsid w:val="57212E09"/>
    <w:rsid w:val="572648C3"/>
    <w:rsid w:val="572B3C88"/>
    <w:rsid w:val="572F2122"/>
    <w:rsid w:val="572F3778"/>
    <w:rsid w:val="573174F0"/>
    <w:rsid w:val="5732282D"/>
    <w:rsid w:val="57372245"/>
    <w:rsid w:val="57376AD1"/>
    <w:rsid w:val="57392849"/>
    <w:rsid w:val="573B036F"/>
    <w:rsid w:val="57435475"/>
    <w:rsid w:val="57451B41"/>
    <w:rsid w:val="574C432A"/>
    <w:rsid w:val="574F3E1A"/>
    <w:rsid w:val="574F7976"/>
    <w:rsid w:val="57511940"/>
    <w:rsid w:val="575136EE"/>
    <w:rsid w:val="57513E3C"/>
    <w:rsid w:val="575256B8"/>
    <w:rsid w:val="57541431"/>
    <w:rsid w:val="5755414B"/>
    <w:rsid w:val="57575742"/>
    <w:rsid w:val="575907F5"/>
    <w:rsid w:val="575925A3"/>
    <w:rsid w:val="575B631B"/>
    <w:rsid w:val="575C0124"/>
    <w:rsid w:val="575E405D"/>
    <w:rsid w:val="575E4CB3"/>
    <w:rsid w:val="575E5615"/>
    <w:rsid w:val="575E71D1"/>
    <w:rsid w:val="57656AAF"/>
    <w:rsid w:val="57664CC0"/>
    <w:rsid w:val="57671164"/>
    <w:rsid w:val="57685C5F"/>
    <w:rsid w:val="576C0528"/>
    <w:rsid w:val="57711FE2"/>
    <w:rsid w:val="577613A7"/>
    <w:rsid w:val="57776ECD"/>
    <w:rsid w:val="57780285"/>
    <w:rsid w:val="57811AFA"/>
    <w:rsid w:val="578515EA"/>
    <w:rsid w:val="57895841"/>
    <w:rsid w:val="578A6C00"/>
    <w:rsid w:val="578E4942"/>
    <w:rsid w:val="579161E1"/>
    <w:rsid w:val="579546BB"/>
    <w:rsid w:val="57961A49"/>
    <w:rsid w:val="579D2DD8"/>
    <w:rsid w:val="579E08FE"/>
    <w:rsid w:val="579E26AC"/>
    <w:rsid w:val="57A51C8C"/>
    <w:rsid w:val="57AA1051"/>
    <w:rsid w:val="57AC301B"/>
    <w:rsid w:val="57AE79CC"/>
    <w:rsid w:val="57B343A9"/>
    <w:rsid w:val="57B36157"/>
    <w:rsid w:val="57B40121"/>
    <w:rsid w:val="57B43C7D"/>
    <w:rsid w:val="57B7551B"/>
    <w:rsid w:val="57B8364E"/>
    <w:rsid w:val="57BB14B0"/>
    <w:rsid w:val="57BC762A"/>
    <w:rsid w:val="57BE4AFC"/>
    <w:rsid w:val="57BE68AA"/>
    <w:rsid w:val="57C01474"/>
    <w:rsid w:val="57C2283E"/>
    <w:rsid w:val="57C245EC"/>
    <w:rsid w:val="57C33332"/>
    <w:rsid w:val="57C93BCD"/>
    <w:rsid w:val="57CB7122"/>
    <w:rsid w:val="57CF6D09"/>
    <w:rsid w:val="57D165DD"/>
    <w:rsid w:val="57D305A7"/>
    <w:rsid w:val="57D63BF4"/>
    <w:rsid w:val="57D936E4"/>
    <w:rsid w:val="57DA5E22"/>
    <w:rsid w:val="57DA7B88"/>
    <w:rsid w:val="57DF519E"/>
    <w:rsid w:val="57E006C6"/>
    <w:rsid w:val="57E04A72"/>
    <w:rsid w:val="57E427B4"/>
    <w:rsid w:val="57EC1669"/>
    <w:rsid w:val="57EC78BB"/>
    <w:rsid w:val="57ED63C8"/>
    <w:rsid w:val="57F56770"/>
    <w:rsid w:val="57F66044"/>
    <w:rsid w:val="57F8000E"/>
    <w:rsid w:val="57F81DBC"/>
    <w:rsid w:val="57F977E9"/>
    <w:rsid w:val="57FB73D1"/>
    <w:rsid w:val="57FB7AFE"/>
    <w:rsid w:val="57FD73D2"/>
    <w:rsid w:val="57FF75EE"/>
    <w:rsid w:val="580206F4"/>
    <w:rsid w:val="58044C05"/>
    <w:rsid w:val="580544D9"/>
    <w:rsid w:val="58054E60"/>
    <w:rsid w:val="580764A3"/>
    <w:rsid w:val="58086E95"/>
    <w:rsid w:val="5809221B"/>
    <w:rsid w:val="580935CD"/>
    <w:rsid w:val="58093FC9"/>
    <w:rsid w:val="580A7D41"/>
    <w:rsid w:val="580D1877"/>
    <w:rsid w:val="580E7831"/>
    <w:rsid w:val="580F4197"/>
    <w:rsid w:val="580F49BF"/>
    <w:rsid w:val="580F725F"/>
    <w:rsid w:val="581001F8"/>
    <w:rsid w:val="58101D5C"/>
    <w:rsid w:val="581110D0"/>
    <w:rsid w:val="58133FA8"/>
    <w:rsid w:val="58152B58"/>
    <w:rsid w:val="581666E6"/>
    <w:rsid w:val="58172929"/>
    <w:rsid w:val="58197E1A"/>
    <w:rsid w:val="581A61D6"/>
    <w:rsid w:val="581B530B"/>
    <w:rsid w:val="581B5AAA"/>
    <w:rsid w:val="581F69C6"/>
    <w:rsid w:val="58201313"/>
    <w:rsid w:val="582157B7"/>
    <w:rsid w:val="58254B7B"/>
    <w:rsid w:val="58256929"/>
    <w:rsid w:val="5827444F"/>
    <w:rsid w:val="58276B45"/>
    <w:rsid w:val="582A3F3F"/>
    <w:rsid w:val="582B2191"/>
    <w:rsid w:val="58366D88"/>
    <w:rsid w:val="583A0626"/>
    <w:rsid w:val="583D3C73"/>
    <w:rsid w:val="583E32AB"/>
    <w:rsid w:val="583F2D3C"/>
    <w:rsid w:val="58403763"/>
    <w:rsid w:val="584B076B"/>
    <w:rsid w:val="584B2834"/>
    <w:rsid w:val="584E7C2E"/>
    <w:rsid w:val="5853793A"/>
    <w:rsid w:val="58584F50"/>
    <w:rsid w:val="58586CFE"/>
    <w:rsid w:val="585C67EF"/>
    <w:rsid w:val="5866766D"/>
    <w:rsid w:val="58676F42"/>
    <w:rsid w:val="58692CBA"/>
    <w:rsid w:val="586965E3"/>
    <w:rsid w:val="587005A3"/>
    <w:rsid w:val="58705DF6"/>
    <w:rsid w:val="58713534"/>
    <w:rsid w:val="587578B0"/>
    <w:rsid w:val="58767185"/>
    <w:rsid w:val="5878114F"/>
    <w:rsid w:val="587873A1"/>
    <w:rsid w:val="587A3143"/>
    <w:rsid w:val="587D116A"/>
    <w:rsid w:val="587F072F"/>
    <w:rsid w:val="587F24DD"/>
    <w:rsid w:val="58801DB1"/>
    <w:rsid w:val="58832DC3"/>
    <w:rsid w:val="58855A0B"/>
    <w:rsid w:val="58871392"/>
    <w:rsid w:val="5889335C"/>
    <w:rsid w:val="588C69A8"/>
    <w:rsid w:val="588D419D"/>
    <w:rsid w:val="588E44CE"/>
    <w:rsid w:val="58906498"/>
    <w:rsid w:val="58922210"/>
    <w:rsid w:val="58975A79"/>
    <w:rsid w:val="5898534D"/>
    <w:rsid w:val="589870FB"/>
    <w:rsid w:val="589917F1"/>
    <w:rsid w:val="589A29EE"/>
    <w:rsid w:val="589A7317"/>
    <w:rsid w:val="589C308F"/>
    <w:rsid w:val="589E6E07"/>
    <w:rsid w:val="589F0865"/>
    <w:rsid w:val="58A14202"/>
    <w:rsid w:val="58A23367"/>
    <w:rsid w:val="58A27F7A"/>
    <w:rsid w:val="58A35B06"/>
    <w:rsid w:val="58A75590"/>
    <w:rsid w:val="58AB6E2E"/>
    <w:rsid w:val="58AD2F33"/>
    <w:rsid w:val="58B605B7"/>
    <w:rsid w:val="58B64839"/>
    <w:rsid w:val="58B959EF"/>
    <w:rsid w:val="58B97A16"/>
    <w:rsid w:val="58BB51AE"/>
    <w:rsid w:val="58BC103B"/>
    <w:rsid w:val="58BC2ED3"/>
    <w:rsid w:val="58C12AF6"/>
    <w:rsid w:val="58C46142"/>
    <w:rsid w:val="58C47EF0"/>
    <w:rsid w:val="58C67724"/>
    <w:rsid w:val="58CE59D8"/>
    <w:rsid w:val="58CF5213"/>
    <w:rsid w:val="58D00F8B"/>
    <w:rsid w:val="58D02D39"/>
    <w:rsid w:val="58D2085F"/>
    <w:rsid w:val="58D472A5"/>
    <w:rsid w:val="58D72319"/>
    <w:rsid w:val="58D75E75"/>
    <w:rsid w:val="58DC348C"/>
    <w:rsid w:val="58DC7930"/>
    <w:rsid w:val="58DE7204"/>
    <w:rsid w:val="58E42340"/>
    <w:rsid w:val="58E467E4"/>
    <w:rsid w:val="58E6255C"/>
    <w:rsid w:val="58E80082"/>
    <w:rsid w:val="58E97957"/>
    <w:rsid w:val="58EA35C5"/>
    <w:rsid w:val="58F24A5D"/>
    <w:rsid w:val="58F74373"/>
    <w:rsid w:val="58FC58DC"/>
    <w:rsid w:val="58FE1654"/>
    <w:rsid w:val="58FF53CC"/>
    <w:rsid w:val="5903310E"/>
    <w:rsid w:val="59050C34"/>
    <w:rsid w:val="5906536C"/>
    <w:rsid w:val="590B1FC3"/>
    <w:rsid w:val="591013D6"/>
    <w:rsid w:val="5911403B"/>
    <w:rsid w:val="59123351"/>
    <w:rsid w:val="59126EAD"/>
    <w:rsid w:val="591946E0"/>
    <w:rsid w:val="591C5F7E"/>
    <w:rsid w:val="59282B75"/>
    <w:rsid w:val="592866D1"/>
    <w:rsid w:val="59291EAC"/>
    <w:rsid w:val="592B2BC8"/>
    <w:rsid w:val="592B5579"/>
    <w:rsid w:val="592B7F6F"/>
    <w:rsid w:val="592D018B"/>
    <w:rsid w:val="592D3CE7"/>
    <w:rsid w:val="593029DB"/>
    <w:rsid w:val="5932697F"/>
    <w:rsid w:val="593A6404"/>
    <w:rsid w:val="593B28A8"/>
    <w:rsid w:val="593C3F2A"/>
    <w:rsid w:val="593D7234"/>
    <w:rsid w:val="593E4146"/>
    <w:rsid w:val="593E58F0"/>
    <w:rsid w:val="59411541"/>
    <w:rsid w:val="59441031"/>
    <w:rsid w:val="594430F4"/>
    <w:rsid w:val="5945570A"/>
    <w:rsid w:val="59457283"/>
    <w:rsid w:val="594828CF"/>
    <w:rsid w:val="594A2AEB"/>
    <w:rsid w:val="594A6647"/>
    <w:rsid w:val="594F1EAF"/>
    <w:rsid w:val="59536F6B"/>
    <w:rsid w:val="5954396A"/>
    <w:rsid w:val="59594ADC"/>
    <w:rsid w:val="595C45CC"/>
    <w:rsid w:val="595D1779"/>
    <w:rsid w:val="5960230F"/>
    <w:rsid w:val="596671F9"/>
    <w:rsid w:val="596A4F3B"/>
    <w:rsid w:val="596B480F"/>
    <w:rsid w:val="596D67DA"/>
    <w:rsid w:val="596F60AE"/>
    <w:rsid w:val="59701E26"/>
    <w:rsid w:val="59704E92"/>
    <w:rsid w:val="597162CA"/>
    <w:rsid w:val="5974452F"/>
    <w:rsid w:val="59745DBA"/>
    <w:rsid w:val="59747B68"/>
    <w:rsid w:val="59757D84"/>
    <w:rsid w:val="597746E4"/>
    <w:rsid w:val="59777658"/>
    <w:rsid w:val="59793D78"/>
    <w:rsid w:val="5979517E"/>
    <w:rsid w:val="59796F2C"/>
    <w:rsid w:val="597A1703"/>
    <w:rsid w:val="597C6A1D"/>
    <w:rsid w:val="59837DAB"/>
    <w:rsid w:val="59843071"/>
    <w:rsid w:val="59843CBF"/>
    <w:rsid w:val="59851D75"/>
    <w:rsid w:val="59853B23"/>
    <w:rsid w:val="598853C1"/>
    <w:rsid w:val="598A1022"/>
    <w:rsid w:val="598B6C60"/>
    <w:rsid w:val="598C3104"/>
    <w:rsid w:val="598C4EB2"/>
    <w:rsid w:val="598D671F"/>
    <w:rsid w:val="59914276"/>
    <w:rsid w:val="59926DE3"/>
    <w:rsid w:val="59967ADE"/>
    <w:rsid w:val="59981AA8"/>
    <w:rsid w:val="5999312B"/>
    <w:rsid w:val="599C0E6D"/>
    <w:rsid w:val="599C2C1B"/>
    <w:rsid w:val="599E2E37"/>
    <w:rsid w:val="59A55F73"/>
    <w:rsid w:val="59A85A64"/>
    <w:rsid w:val="59AA358A"/>
    <w:rsid w:val="59AC5554"/>
    <w:rsid w:val="59B44408"/>
    <w:rsid w:val="59B44E5D"/>
    <w:rsid w:val="59B461B6"/>
    <w:rsid w:val="59B83EF9"/>
    <w:rsid w:val="59B8766C"/>
    <w:rsid w:val="59B93578"/>
    <w:rsid w:val="59B937CD"/>
    <w:rsid w:val="59BB7545"/>
    <w:rsid w:val="59BE7035"/>
    <w:rsid w:val="59C26B25"/>
    <w:rsid w:val="59C363FA"/>
    <w:rsid w:val="59C414B7"/>
    <w:rsid w:val="59C52172"/>
    <w:rsid w:val="59C56616"/>
    <w:rsid w:val="59C60319"/>
    <w:rsid w:val="59C75EEA"/>
    <w:rsid w:val="59C83A10"/>
    <w:rsid w:val="59CA3C2C"/>
    <w:rsid w:val="59CC3500"/>
    <w:rsid w:val="59CC52AE"/>
    <w:rsid w:val="59D03C49"/>
    <w:rsid w:val="59D5500D"/>
    <w:rsid w:val="59D56097"/>
    <w:rsid w:val="59D6649D"/>
    <w:rsid w:val="59D71B43"/>
    <w:rsid w:val="59D979CB"/>
    <w:rsid w:val="59E00D5A"/>
    <w:rsid w:val="59E3084A"/>
    <w:rsid w:val="59E47360"/>
    <w:rsid w:val="59E52814"/>
    <w:rsid w:val="59E56370"/>
    <w:rsid w:val="59EC5950"/>
    <w:rsid w:val="59EE1099"/>
    <w:rsid w:val="59EE16C8"/>
    <w:rsid w:val="59F111B9"/>
    <w:rsid w:val="59F12F67"/>
    <w:rsid w:val="59F82547"/>
    <w:rsid w:val="59FC59A6"/>
    <w:rsid w:val="59FD7B5D"/>
    <w:rsid w:val="5A0013FC"/>
    <w:rsid w:val="5A00764E"/>
    <w:rsid w:val="5A011459"/>
    <w:rsid w:val="5A037D60"/>
    <w:rsid w:val="5A054C64"/>
    <w:rsid w:val="5A0927BC"/>
    <w:rsid w:val="5A0A107B"/>
    <w:rsid w:val="5A0A5DD6"/>
    <w:rsid w:val="5A0A7C1A"/>
    <w:rsid w:val="5A0C49E5"/>
    <w:rsid w:val="5A0C56D2"/>
    <w:rsid w:val="5A115483"/>
    <w:rsid w:val="5A132EDD"/>
    <w:rsid w:val="5A145A8B"/>
    <w:rsid w:val="5A1530F9"/>
    <w:rsid w:val="5A16081F"/>
    <w:rsid w:val="5A166E71"/>
    <w:rsid w:val="5A17367F"/>
    <w:rsid w:val="5A1D0200"/>
    <w:rsid w:val="5A1D3D5C"/>
    <w:rsid w:val="5A1D5B0A"/>
    <w:rsid w:val="5A20384C"/>
    <w:rsid w:val="5A217302"/>
    <w:rsid w:val="5A235F34"/>
    <w:rsid w:val="5A252C10"/>
    <w:rsid w:val="5A261084"/>
    <w:rsid w:val="5A274BDA"/>
    <w:rsid w:val="5A276988"/>
    <w:rsid w:val="5A2F1CE1"/>
    <w:rsid w:val="5A3115B5"/>
    <w:rsid w:val="5A33357F"/>
    <w:rsid w:val="5A3572F7"/>
    <w:rsid w:val="5A395589"/>
    <w:rsid w:val="5A3B68D8"/>
    <w:rsid w:val="5A3C33AE"/>
    <w:rsid w:val="5A3C61F5"/>
    <w:rsid w:val="5A3D7F5A"/>
    <w:rsid w:val="5A3E3CD2"/>
    <w:rsid w:val="5A47275E"/>
    <w:rsid w:val="5A47527D"/>
    <w:rsid w:val="5A47702B"/>
    <w:rsid w:val="5A4968FF"/>
    <w:rsid w:val="5A4A27BF"/>
    <w:rsid w:val="5A4A360C"/>
    <w:rsid w:val="5A4A7AA9"/>
    <w:rsid w:val="5A4C2893"/>
    <w:rsid w:val="5A4E03B9"/>
    <w:rsid w:val="5A504131"/>
    <w:rsid w:val="5A560DC3"/>
    <w:rsid w:val="5A5654C0"/>
    <w:rsid w:val="5A56726E"/>
    <w:rsid w:val="5A581238"/>
    <w:rsid w:val="5A592901"/>
    <w:rsid w:val="5A5A6D5E"/>
    <w:rsid w:val="5A5D05FC"/>
    <w:rsid w:val="5A5E43C5"/>
    <w:rsid w:val="5A60180A"/>
    <w:rsid w:val="5A601E9A"/>
    <w:rsid w:val="5A604A46"/>
    <w:rsid w:val="5A621513"/>
    <w:rsid w:val="5A636A25"/>
    <w:rsid w:val="5A64198B"/>
    <w:rsid w:val="5A67147B"/>
    <w:rsid w:val="5A673229"/>
    <w:rsid w:val="5A6F20DD"/>
    <w:rsid w:val="5A706581"/>
    <w:rsid w:val="5A7302EB"/>
    <w:rsid w:val="5A742650"/>
    <w:rsid w:val="5A7476F4"/>
    <w:rsid w:val="5A755946"/>
    <w:rsid w:val="5A795462"/>
    <w:rsid w:val="5A8028EF"/>
    <w:rsid w:val="5A81253D"/>
    <w:rsid w:val="5A8262B5"/>
    <w:rsid w:val="5A840347"/>
    <w:rsid w:val="5A841C9E"/>
    <w:rsid w:val="5A871B1D"/>
    <w:rsid w:val="5A875679"/>
    <w:rsid w:val="5A877BF1"/>
    <w:rsid w:val="5A89319F"/>
    <w:rsid w:val="5A8D7133"/>
    <w:rsid w:val="5A9102A6"/>
    <w:rsid w:val="5A9304C2"/>
    <w:rsid w:val="5A963B0E"/>
    <w:rsid w:val="5A9B1124"/>
    <w:rsid w:val="5AA1498D"/>
    <w:rsid w:val="5AA224B3"/>
    <w:rsid w:val="5AA26B58"/>
    <w:rsid w:val="5AA601F5"/>
    <w:rsid w:val="5AAB441A"/>
    <w:rsid w:val="5AAE4C4B"/>
    <w:rsid w:val="5AB02E22"/>
    <w:rsid w:val="5AB04BD0"/>
    <w:rsid w:val="5AC24903"/>
    <w:rsid w:val="5AC661A1"/>
    <w:rsid w:val="5AC97A40"/>
    <w:rsid w:val="5ACB37B8"/>
    <w:rsid w:val="5ACC12DE"/>
    <w:rsid w:val="5AD20FEA"/>
    <w:rsid w:val="5AD54636"/>
    <w:rsid w:val="5AD563E4"/>
    <w:rsid w:val="5ADA1C4D"/>
    <w:rsid w:val="5ADA39FB"/>
    <w:rsid w:val="5ADC3C17"/>
    <w:rsid w:val="5ADF1011"/>
    <w:rsid w:val="5ADF3707"/>
    <w:rsid w:val="5AE0479A"/>
    <w:rsid w:val="5AE34FA5"/>
    <w:rsid w:val="5AE66844"/>
    <w:rsid w:val="5AE91E90"/>
    <w:rsid w:val="5AEB5C08"/>
    <w:rsid w:val="5AEC541A"/>
    <w:rsid w:val="5AED32BE"/>
    <w:rsid w:val="5AEE56F8"/>
    <w:rsid w:val="5AEE7702"/>
    <w:rsid w:val="5AF56A87"/>
    <w:rsid w:val="5AF727FF"/>
    <w:rsid w:val="5AFA409D"/>
    <w:rsid w:val="5AFA5E4B"/>
    <w:rsid w:val="5AFB7C61"/>
    <w:rsid w:val="5AFC131F"/>
    <w:rsid w:val="5B022F52"/>
    <w:rsid w:val="5B04316E"/>
    <w:rsid w:val="5B046CCA"/>
    <w:rsid w:val="5B0647F0"/>
    <w:rsid w:val="5B0B62AA"/>
    <w:rsid w:val="5B0E18F6"/>
    <w:rsid w:val="5B0F5D9A"/>
    <w:rsid w:val="5B1038C0"/>
    <w:rsid w:val="5B10566E"/>
    <w:rsid w:val="5B13515F"/>
    <w:rsid w:val="5B157129"/>
    <w:rsid w:val="5B1769FD"/>
    <w:rsid w:val="5B1A029B"/>
    <w:rsid w:val="5B1A473F"/>
    <w:rsid w:val="5B21787C"/>
    <w:rsid w:val="5B24111A"/>
    <w:rsid w:val="5B2630E4"/>
    <w:rsid w:val="5B296730"/>
    <w:rsid w:val="5B2C2DA1"/>
    <w:rsid w:val="5B2D6220"/>
    <w:rsid w:val="5B2D7FCE"/>
    <w:rsid w:val="5B311173"/>
    <w:rsid w:val="5B314B9C"/>
    <w:rsid w:val="5B3255E5"/>
    <w:rsid w:val="5B351579"/>
    <w:rsid w:val="5B3550D5"/>
    <w:rsid w:val="5B370E4D"/>
    <w:rsid w:val="5B381344"/>
    <w:rsid w:val="5B383A43"/>
    <w:rsid w:val="5B392E17"/>
    <w:rsid w:val="5B3D3F8A"/>
    <w:rsid w:val="5B4041A6"/>
    <w:rsid w:val="5B413A7A"/>
    <w:rsid w:val="5B427539"/>
    <w:rsid w:val="5B4517BC"/>
    <w:rsid w:val="5B4C58AA"/>
    <w:rsid w:val="5B4F39A0"/>
    <w:rsid w:val="5B4F5494"/>
    <w:rsid w:val="5B5163B3"/>
    <w:rsid w:val="5B5267B9"/>
    <w:rsid w:val="5B597015"/>
    <w:rsid w:val="5B5B5948"/>
    <w:rsid w:val="5B5C4D58"/>
    <w:rsid w:val="5B5F034D"/>
    <w:rsid w:val="5B5F1393"/>
    <w:rsid w:val="5B6051E4"/>
    <w:rsid w:val="5B637E94"/>
    <w:rsid w:val="5B64318C"/>
    <w:rsid w:val="5B6854AA"/>
    <w:rsid w:val="5B6A1223"/>
    <w:rsid w:val="5B745BFD"/>
    <w:rsid w:val="5B7A1DA3"/>
    <w:rsid w:val="5B7A2A80"/>
    <w:rsid w:val="5B7A6F8C"/>
    <w:rsid w:val="5B807B3A"/>
    <w:rsid w:val="5B834092"/>
    <w:rsid w:val="5B85794B"/>
    <w:rsid w:val="5B8B5F03"/>
    <w:rsid w:val="5B8D4F11"/>
    <w:rsid w:val="5B8F0C89"/>
    <w:rsid w:val="5B9067AF"/>
    <w:rsid w:val="5B9242D5"/>
    <w:rsid w:val="5B955B74"/>
    <w:rsid w:val="5B991BDA"/>
    <w:rsid w:val="5B9E5C51"/>
    <w:rsid w:val="5BA37100"/>
    <w:rsid w:val="5BA45BC9"/>
    <w:rsid w:val="5BA504AD"/>
    <w:rsid w:val="5BA5225B"/>
    <w:rsid w:val="5BA67D81"/>
    <w:rsid w:val="5BA81D4B"/>
    <w:rsid w:val="5BA858A7"/>
    <w:rsid w:val="5BAA161F"/>
    <w:rsid w:val="5BAC35E9"/>
    <w:rsid w:val="5BAF30D9"/>
    <w:rsid w:val="5BAF6C35"/>
    <w:rsid w:val="5BB5157D"/>
    <w:rsid w:val="5BB73D3C"/>
    <w:rsid w:val="5BB97AB4"/>
    <w:rsid w:val="5BBB7CD0"/>
    <w:rsid w:val="5BBC2A60"/>
    <w:rsid w:val="5BC05588"/>
    <w:rsid w:val="5BC30933"/>
    <w:rsid w:val="5BC326E1"/>
    <w:rsid w:val="5BC36B85"/>
    <w:rsid w:val="5BC40BAB"/>
    <w:rsid w:val="5BC528FD"/>
    <w:rsid w:val="5BC85F49"/>
    <w:rsid w:val="5BCF552A"/>
    <w:rsid w:val="5BD112A2"/>
    <w:rsid w:val="5BD26DC8"/>
    <w:rsid w:val="5BD424E2"/>
    <w:rsid w:val="5BD42E24"/>
    <w:rsid w:val="5BD4669C"/>
    <w:rsid w:val="5BD668B8"/>
    <w:rsid w:val="5BD7618C"/>
    <w:rsid w:val="5BD82630"/>
    <w:rsid w:val="5BDE39BF"/>
    <w:rsid w:val="5BE002A5"/>
    <w:rsid w:val="5BE21F66"/>
    <w:rsid w:val="5BE2525D"/>
    <w:rsid w:val="5BE34B31"/>
    <w:rsid w:val="5BE56AFB"/>
    <w:rsid w:val="5BE82147"/>
    <w:rsid w:val="5BEC7E8A"/>
    <w:rsid w:val="5BED775E"/>
    <w:rsid w:val="5BF03A18"/>
    <w:rsid w:val="5BF105C4"/>
    <w:rsid w:val="5BF226BA"/>
    <w:rsid w:val="5BF22FC6"/>
    <w:rsid w:val="5BF46D3E"/>
    <w:rsid w:val="5BF62AB6"/>
    <w:rsid w:val="5BF671F3"/>
    <w:rsid w:val="5BFB37A6"/>
    <w:rsid w:val="5BFD6D94"/>
    <w:rsid w:val="5C001B87"/>
    <w:rsid w:val="5C0056E3"/>
    <w:rsid w:val="5C013209"/>
    <w:rsid w:val="5C050B30"/>
    <w:rsid w:val="5C0A47B4"/>
    <w:rsid w:val="5C0D1BAE"/>
    <w:rsid w:val="5C11169E"/>
    <w:rsid w:val="5C136B67"/>
    <w:rsid w:val="5C164335"/>
    <w:rsid w:val="5C1833D1"/>
    <w:rsid w:val="5C1967A5"/>
    <w:rsid w:val="5C1B076F"/>
    <w:rsid w:val="5C207B33"/>
    <w:rsid w:val="5C221667"/>
    <w:rsid w:val="5C2238AB"/>
    <w:rsid w:val="5C237623"/>
    <w:rsid w:val="5C240C7B"/>
    <w:rsid w:val="5C272C70"/>
    <w:rsid w:val="5C292E8C"/>
    <w:rsid w:val="5C294C3A"/>
    <w:rsid w:val="5C2A2760"/>
    <w:rsid w:val="5C317F92"/>
    <w:rsid w:val="5C34538D"/>
    <w:rsid w:val="5C361105"/>
    <w:rsid w:val="5C3A0EAF"/>
    <w:rsid w:val="5C3D6937"/>
    <w:rsid w:val="5C4001D5"/>
    <w:rsid w:val="5C433822"/>
    <w:rsid w:val="5C480E38"/>
    <w:rsid w:val="5C4E28F2"/>
    <w:rsid w:val="5C4F5194"/>
    <w:rsid w:val="5C531CB7"/>
    <w:rsid w:val="5C5477DD"/>
    <w:rsid w:val="5C594DF3"/>
    <w:rsid w:val="5C5F065B"/>
    <w:rsid w:val="5C600994"/>
    <w:rsid w:val="5C602626"/>
    <w:rsid w:val="5C606182"/>
    <w:rsid w:val="5C621EFA"/>
    <w:rsid w:val="5C675762"/>
    <w:rsid w:val="5C6914DA"/>
    <w:rsid w:val="5C6C2D78"/>
    <w:rsid w:val="5C6F4617"/>
    <w:rsid w:val="5C7027FB"/>
    <w:rsid w:val="5C712EAE"/>
    <w:rsid w:val="5C7156EC"/>
    <w:rsid w:val="5C723888"/>
    <w:rsid w:val="5C734107"/>
    <w:rsid w:val="5C7A36E7"/>
    <w:rsid w:val="5C806824"/>
    <w:rsid w:val="5C8167D8"/>
    <w:rsid w:val="5C844566"/>
    <w:rsid w:val="5C870797"/>
    <w:rsid w:val="5C8779B0"/>
    <w:rsid w:val="5C891453"/>
    <w:rsid w:val="5C8A31FF"/>
    <w:rsid w:val="5C8D51F6"/>
    <w:rsid w:val="5C8E7193"/>
    <w:rsid w:val="5C8F6A67"/>
    <w:rsid w:val="5C902F0B"/>
    <w:rsid w:val="5C9127DF"/>
    <w:rsid w:val="5C91458D"/>
    <w:rsid w:val="5C971DE3"/>
    <w:rsid w:val="5C974299"/>
    <w:rsid w:val="5C981DBF"/>
    <w:rsid w:val="5C9A5B38"/>
    <w:rsid w:val="5C9B365E"/>
    <w:rsid w:val="5C9F4EFC"/>
    <w:rsid w:val="5CA00C74"/>
    <w:rsid w:val="5CA223D5"/>
    <w:rsid w:val="5CA52AF5"/>
    <w:rsid w:val="5CAE3391"/>
    <w:rsid w:val="5CAE513F"/>
    <w:rsid w:val="5CAF66C2"/>
    <w:rsid w:val="5CB00EB7"/>
    <w:rsid w:val="5CB27C53"/>
    <w:rsid w:val="5CB55241"/>
    <w:rsid w:val="5CB564CD"/>
    <w:rsid w:val="5CB63FF4"/>
    <w:rsid w:val="5CB963A2"/>
    <w:rsid w:val="5CBB785C"/>
    <w:rsid w:val="5CBD1826"/>
    <w:rsid w:val="5CC41C0D"/>
    <w:rsid w:val="5CC52489"/>
    <w:rsid w:val="5CC777D1"/>
    <w:rsid w:val="5CC901CB"/>
    <w:rsid w:val="5CCC3817"/>
    <w:rsid w:val="5CCD7CBB"/>
    <w:rsid w:val="5CCE1A7B"/>
    <w:rsid w:val="5CD059FB"/>
    <w:rsid w:val="5CD1707F"/>
    <w:rsid w:val="5CD54DC2"/>
    <w:rsid w:val="5CD56B70"/>
    <w:rsid w:val="5CD64696"/>
    <w:rsid w:val="5CD728E8"/>
    <w:rsid w:val="5CD8040E"/>
    <w:rsid w:val="5CD90867"/>
    <w:rsid w:val="5CDD77D2"/>
    <w:rsid w:val="5CE011D1"/>
    <w:rsid w:val="5CE2303B"/>
    <w:rsid w:val="5CE42D12"/>
    <w:rsid w:val="5CE60D7D"/>
    <w:rsid w:val="5CE62B2B"/>
    <w:rsid w:val="5CE768A3"/>
    <w:rsid w:val="5CEB626C"/>
    <w:rsid w:val="5CEE19DF"/>
    <w:rsid w:val="5CEE5E83"/>
    <w:rsid w:val="5CEE7C31"/>
    <w:rsid w:val="5CF1327E"/>
    <w:rsid w:val="5CF27722"/>
    <w:rsid w:val="5CF455D7"/>
    <w:rsid w:val="5CF60894"/>
    <w:rsid w:val="5CF76AE6"/>
    <w:rsid w:val="5CF8460C"/>
    <w:rsid w:val="5CF9604C"/>
    <w:rsid w:val="5CFA0384"/>
    <w:rsid w:val="5D014EC7"/>
    <w:rsid w:val="5D017965"/>
    <w:rsid w:val="5D042FB1"/>
    <w:rsid w:val="5D072AA1"/>
    <w:rsid w:val="5D07484F"/>
    <w:rsid w:val="5D0E5BDE"/>
    <w:rsid w:val="5D105DFA"/>
    <w:rsid w:val="5D123258"/>
    <w:rsid w:val="5D1256CE"/>
    <w:rsid w:val="5D131446"/>
    <w:rsid w:val="5D151AF9"/>
    <w:rsid w:val="5D186A5C"/>
    <w:rsid w:val="5D1D4073"/>
    <w:rsid w:val="5D1F6693"/>
    <w:rsid w:val="5D2006AE"/>
    <w:rsid w:val="5D290C69"/>
    <w:rsid w:val="5D2B2C34"/>
    <w:rsid w:val="5D2E44D2"/>
    <w:rsid w:val="5D333896"/>
    <w:rsid w:val="5D344975"/>
    <w:rsid w:val="5D3715D8"/>
    <w:rsid w:val="5D373386"/>
    <w:rsid w:val="5D375134"/>
    <w:rsid w:val="5D396C06"/>
    <w:rsid w:val="5D445AA3"/>
    <w:rsid w:val="5D487342"/>
    <w:rsid w:val="5D4B0BE0"/>
    <w:rsid w:val="5D4B6E32"/>
    <w:rsid w:val="5D537A94"/>
    <w:rsid w:val="5D573A29"/>
    <w:rsid w:val="5D575623"/>
    <w:rsid w:val="5D5850AB"/>
    <w:rsid w:val="5D5A52C7"/>
    <w:rsid w:val="5D5D7AEC"/>
    <w:rsid w:val="5D610403"/>
    <w:rsid w:val="5D6121B1"/>
    <w:rsid w:val="5D6B4750"/>
    <w:rsid w:val="5D6D2A3E"/>
    <w:rsid w:val="5D6D4FFA"/>
    <w:rsid w:val="5D72616D"/>
    <w:rsid w:val="5D752101"/>
    <w:rsid w:val="5D753EAF"/>
    <w:rsid w:val="5D79574D"/>
    <w:rsid w:val="5D7F6ADB"/>
    <w:rsid w:val="5D804FF9"/>
    <w:rsid w:val="5D861C18"/>
    <w:rsid w:val="5D883ECE"/>
    <w:rsid w:val="5D8B36D2"/>
    <w:rsid w:val="5D8B5480"/>
    <w:rsid w:val="5D8C2DD2"/>
    <w:rsid w:val="5D900CE9"/>
    <w:rsid w:val="5D9407D9"/>
    <w:rsid w:val="5D9562FF"/>
    <w:rsid w:val="5D9B1436"/>
    <w:rsid w:val="5D9C42A4"/>
    <w:rsid w:val="5D9C7FF6"/>
    <w:rsid w:val="5DA14CA4"/>
    <w:rsid w:val="5DA24FF7"/>
    <w:rsid w:val="5DA30A1C"/>
    <w:rsid w:val="5DA43C29"/>
    <w:rsid w:val="5DA86418"/>
    <w:rsid w:val="5DAA3B58"/>
    <w:rsid w:val="5DAB167E"/>
    <w:rsid w:val="5DAB5B22"/>
    <w:rsid w:val="5DAB78D0"/>
    <w:rsid w:val="5DAD3649"/>
    <w:rsid w:val="5DB07B64"/>
    <w:rsid w:val="5DB30B4D"/>
    <w:rsid w:val="5DB524FD"/>
    <w:rsid w:val="5DB6074F"/>
    <w:rsid w:val="5DBA7B13"/>
    <w:rsid w:val="5DBC1ADE"/>
    <w:rsid w:val="5DBC388C"/>
    <w:rsid w:val="5DC310BE"/>
    <w:rsid w:val="5DC664B8"/>
    <w:rsid w:val="5DCA7D57"/>
    <w:rsid w:val="5DCD5A99"/>
    <w:rsid w:val="5DD047B2"/>
    <w:rsid w:val="5DD23127"/>
    <w:rsid w:val="5DD24E5D"/>
    <w:rsid w:val="5DD40BD5"/>
    <w:rsid w:val="5DD45079"/>
    <w:rsid w:val="5DD46E27"/>
    <w:rsid w:val="5DD92690"/>
    <w:rsid w:val="5DDB6408"/>
    <w:rsid w:val="5DDC3F2E"/>
    <w:rsid w:val="5DDD264E"/>
    <w:rsid w:val="5DDE2965"/>
    <w:rsid w:val="5DDE3802"/>
    <w:rsid w:val="5DE352BC"/>
    <w:rsid w:val="5DE3706A"/>
    <w:rsid w:val="5DE51034"/>
    <w:rsid w:val="5DE55D4F"/>
    <w:rsid w:val="5DE74DAC"/>
    <w:rsid w:val="5DE77A3D"/>
    <w:rsid w:val="5DE80B25"/>
    <w:rsid w:val="5DE8221D"/>
    <w:rsid w:val="5DE828D3"/>
    <w:rsid w:val="5DEB4C7D"/>
    <w:rsid w:val="5DEB784E"/>
    <w:rsid w:val="5DF24AA1"/>
    <w:rsid w:val="5DF24F34"/>
    <w:rsid w:val="5DF50B4C"/>
    <w:rsid w:val="5DF634D1"/>
    <w:rsid w:val="5DFC03FF"/>
    <w:rsid w:val="5DFE20F6"/>
    <w:rsid w:val="5DFE5C52"/>
    <w:rsid w:val="5E021BE6"/>
    <w:rsid w:val="5E03770C"/>
    <w:rsid w:val="5E084D23"/>
    <w:rsid w:val="5E0A68BE"/>
    <w:rsid w:val="5E0B635A"/>
    <w:rsid w:val="5E0C65C1"/>
    <w:rsid w:val="5E1436C8"/>
    <w:rsid w:val="5E197CFB"/>
    <w:rsid w:val="5E1B2CA8"/>
    <w:rsid w:val="5E1B6804"/>
    <w:rsid w:val="5E1E26DD"/>
    <w:rsid w:val="5E1F1A63"/>
    <w:rsid w:val="5E227B93"/>
    <w:rsid w:val="5E282CCF"/>
    <w:rsid w:val="5E287173"/>
    <w:rsid w:val="5E294CEB"/>
    <w:rsid w:val="5E2A2EEB"/>
    <w:rsid w:val="5E2C27BF"/>
    <w:rsid w:val="5E2C6C63"/>
    <w:rsid w:val="5E2D4789"/>
    <w:rsid w:val="5E2D6537"/>
    <w:rsid w:val="5E317DD6"/>
    <w:rsid w:val="5E343D6A"/>
    <w:rsid w:val="5E3653EC"/>
    <w:rsid w:val="5E385608"/>
    <w:rsid w:val="5E435D5B"/>
    <w:rsid w:val="5E443FAD"/>
    <w:rsid w:val="5E4636DE"/>
    <w:rsid w:val="5E4656D1"/>
    <w:rsid w:val="5E4C4C10"/>
    <w:rsid w:val="5E4E6BDA"/>
    <w:rsid w:val="5E4F4700"/>
    <w:rsid w:val="5E512226"/>
    <w:rsid w:val="5E513054"/>
    <w:rsid w:val="5E5166CA"/>
    <w:rsid w:val="5E547F68"/>
    <w:rsid w:val="5E5835B4"/>
    <w:rsid w:val="5E587A58"/>
    <w:rsid w:val="5E5947D1"/>
    <w:rsid w:val="5E5A37D0"/>
    <w:rsid w:val="5E5B7AAE"/>
    <w:rsid w:val="5E655CD1"/>
    <w:rsid w:val="5E671A49"/>
    <w:rsid w:val="5E6737F7"/>
    <w:rsid w:val="5E68756F"/>
    <w:rsid w:val="5E734C2C"/>
    <w:rsid w:val="5E7423B8"/>
    <w:rsid w:val="5E7F3237"/>
    <w:rsid w:val="5E811536"/>
    <w:rsid w:val="5E83582A"/>
    <w:rsid w:val="5E850121"/>
    <w:rsid w:val="5E856631"/>
    <w:rsid w:val="5E8A5738"/>
    <w:rsid w:val="5E8F0FA0"/>
    <w:rsid w:val="5E932C86"/>
    <w:rsid w:val="5E9B7945"/>
    <w:rsid w:val="5E9D487A"/>
    <w:rsid w:val="5E9F5687"/>
    <w:rsid w:val="5EA06D09"/>
    <w:rsid w:val="5EA11D24"/>
    <w:rsid w:val="5EA26F25"/>
    <w:rsid w:val="5EA42C9D"/>
    <w:rsid w:val="5EA467FA"/>
    <w:rsid w:val="5EA63795"/>
    <w:rsid w:val="5EA902B4"/>
    <w:rsid w:val="5EA97545"/>
    <w:rsid w:val="5EAA5DDA"/>
    <w:rsid w:val="5EAA7B88"/>
    <w:rsid w:val="5EAB2513"/>
    <w:rsid w:val="5EB153BA"/>
    <w:rsid w:val="5EB427B5"/>
    <w:rsid w:val="5EB56C59"/>
    <w:rsid w:val="5EB629D1"/>
    <w:rsid w:val="5EB6477F"/>
    <w:rsid w:val="5EB86749"/>
    <w:rsid w:val="5EBB1D95"/>
    <w:rsid w:val="5EBD5B0D"/>
    <w:rsid w:val="5EC073AC"/>
    <w:rsid w:val="5EC40C4A"/>
    <w:rsid w:val="5EC46E9C"/>
    <w:rsid w:val="5ECA1FD8"/>
    <w:rsid w:val="5ECC09D7"/>
    <w:rsid w:val="5ED02091"/>
    <w:rsid w:val="5ED02A30"/>
    <w:rsid w:val="5ED05841"/>
    <w:rsid w:val="5ED52E57"/>
    <w:rsid w:val="5ED6097D"/>
    <w:rsid w:val="5EDD61AF"/>
    <w:rsid w:val="5EDD7F5D"/>
    <w:rsid w:val="5EE035AA"/>
    <w:rsid w:val="5EE412EC"/>
    <w:rsid w:val="5EE4309A"/>
    <w:rsid w:val="5EE50BC0"/>
    <w:rsid w:val="5EE72497"/>
    <w:rsid w:val="5EE74938"/>
    <w:rsid w:val="5EE94B54"/>
    <w:rsid w:val="5EE96902"/>
    <w:rsid w:val="5EEA61D6"/>
    <w:rsid w:val="5EEB267A"/>
    <w:rsid w:val="5EEC1F4F"/>
    <w:rsid w:val="5EF01A3F"/>
    <w:rsid w:val="5EF157B7"/>
    <w:rsid w:val="5EF4181F"/>
    <w:rsid w:val="5EF54261"/>
    <w:rsid w:val="5EF66F80"/>
    <w:rsid w:val="5EF84D97"/>
    <w:rsid w:val="5EFC4888"/>
    <w:rsid w:val="5EFD3DCB"/>
    <w:rsid w:val="5EFF6126"/>
    <w:rsid w:val="5EFF7ED4"/>
    <w:rsid w:val="5F0059FA"/>
    <w:rsid w:val="5F025C16"/>
    <w:rsid w:val="5F0279C4"/>
    <w:rsid w:val="5F035B5C"/>
    <w:rsid w:val="5F0707E8"/>
    <w:rsid w:val="5F092B01"/>
    <w:rsid w:val="5F0B6653"/>
    <w:rsid w:val="5F102754"/>
    <w:rsid w:val="5F150ACF"/>
    <w:rsid w:val="5F166FCB"/>
    <w:rsid w:val="5F17346F"/>
    <w:rsid w:val="5F1A4D0E"/>
    <w:rsid w:val="5F1F2324"/>
    <w:rsid w:val="5F204C6D"/>
    <w:rsid w:val="5F2105ED"/>
    <w:rsid w:val="5F230066"/>
    <w:rsid w:val="5F230BC9"/>
    <w:rsid w:val="5F2639E3"/>
    <w:rsid w:val="5F265461"/>
    <w:rsid w:val="5F2711D9"/>
    <w:rsid w:val="5F27742B"/>
    <w:rsid w:val="5F310398"/>
    <w:rsid w:val="5F3202A9"/>
    <w:rsid w:val="5F323D85"/>
    <w:rsid w:val="5F334021"/>
    <w:rsid w:val="5F357D99"/>
    <w:rsid w:val="5F3758FE"/>
    <w:rsid w:val="5F3804CF"/>
    <w:rsid w:val="5F381638"/>
    <w:rsid w:val="5F3A0F0C"/>
    <w:rsid w:val="5F3C7BB1"/>
    <w:rsid w:val="5F3F4774"/>
    <w:rsid w:val="5F41673E"/>
    <w:rsid w:val="5F447FDD"/>
    <w:rsid w:val="5F451392"/>
    <w:rsid w:val="5F455CBD"/>
    <w:rsid w:val="5F4955F3"/>
    <w:rsid w:val="5F4973A1"/>
    <w:rsid w:val="5F4F0E5B"/>
    <w:rsid w:val="5F4F6756"/>
    <w:rsid w:val="5F5226F9"/>
    <w:rsid w:val="5F5875E4"/>
    <w:rsid w:val="5F5919A6"/>
    <w:rsid w:val="5F5C134F"/>
    <w:rsid w:val="5F5D4BFA"/>
    <w:rsid w:val="5F6441DB"/>
    <w:rsid w:val="5F6661A5"/>
    <w:rsid w:val="5F677827"/>
    <w:rsid w:val="5F6A486B"/>
    <w:rsid w:val="5F6B30AD"/>
    <w:rsid w:val="5F6E0BB6"/>
    <w:rsid w:val="5F7206A6"/>
    <w:rsid w:val="5F742670"/>
    <w:rsid w:val="5F773F0E"/>
    <w:rsid w:val="5F7C1524"/>
    <w:rsid w:val="5F7C7776"/>
    <w:rsid w:val="5F7F7267"/>
    <w:rsid w:val="5F82440E"/>
    <w:rsid w:val="5F830B05"/>
    <w:rsid w:val="5F8605F5"/>
    <w:rsid w:val="5F895057"/>
    <w:rsid w:val="5F8C7F54"/>
    <w:rsid w:val="5F8F74AA"/>
    <w:rsid w:val="5F904FD0"/>
    <w:rsid w:val="5F940A3E"/>
    <w:rsid w:val="5F9A19AB"/>
    <w:rsid w:val="5F9A612B"/>
    <w:rsid w:val="5F9D49E2"/>
    <w:rsid w:val="5F9D61ED"/>
    <w:rsid w:val="5F9E76ED"/>
    <w:rsid w:val="5F9F3465"/>
    <w:rsid w:val="5FA016B7"/>
    <w:rsid w:val="5FA32F55"/>
    <w:rsid w:val="5FA36AB1"/>
    <w:rsid w:val="5FA40A7B"/>
    <w:rsid w:val="5FA42829"/>
    <w:rsid w:val="5FA840C8"/>
    <w:rsid w:val="5FAB005C"/>
    <w:rsid w:val="5FAB3BB8"/>
    <w:rsid w:val="5FB011CE"/>
    <w:rsid w:val="5FB07420"/>
    <w:rsid w:val="5FB52C88"/>
    <w:rsid w:val="5FB567E4"/>
    <w:rsid w:val="5FB92779"/>
    <w:rsid w:val="5FB94527"/>
    <w:rsid w:val="5FBA3DFB"/>
    <w:rsid w:val="5FBA4A30"/>
    <w:rsid w:val="5FBC5DC5"/>
    <w:rsid w:val="5FBD2955"/>
    <w:rsid w:val="5FBE38EB"/>
    <w:rsid w:val="5FC1162D"/>
    <w:rsid w:val="5FC133DB"/>
    <w:rsid w:val="5FC37153"/>
    <w:rsid w:val="5FC5111D"/>
    <w:rsid w:val="5FC627A0"/>
    <w:rsid w:val="5FCD1D80"/>
    <w:rsid w:val="5FD27EAC"/>
    <w:rsid w:val="5FD41360"/>
    <w:rsid w:val="5FDA449D"/>
    <w:rsid w:val="5FDC5EDE"/>
    <w:rsid w:val="5FE01AB3"/>
    <w:rsid w:val="5FE13A7D"/>
    <w:rsid w:val="5FE175D9"/>
    <w:rsid w:val="5FE408D5"/>
    <w:rsid w:val="5FE570CA"/>
    <w:rsid w:val="5FEA0B84"/>
    <w:rsid w:val="5FED5F7E"/>
    <w:rsid w:val="5FF057E4"/>
    <w:rsid w:val="5FF05A6E"/>
    <w:rsid w:val="5FFB7136"/>
    <w:rsid w:val="5FFE1F39"/>
    <w:rsid w:val="5FFE462F"/>
    <w:rsid w:val="5FFE63DD"/>
    <w:rsid w:val="5FFF3E49"/>
    <w:rsid w:val="60002155"/>
    <w:rsid w:val="6005151A"/>
    <w:rsid w:val="600532C8"/>
    <w:rsid w:val="600A12FC"/>
    <w:rsid w:val="600A4D82"/>
    <w:rsid w:val="600D03CE"/>
    <w:rsid w:val="600E201D"/>
    <w:rsid w:val="601144F9"/>
    <w:rsid w:val="601259E5"/>
    <w:rsid w:val="6014175D"/>
    <w:rsid w:val="6014775B"/>
    <w:rsid w:val="60163727"/>
    <w:rsid w:val="601654D5"/>
    <w:rsid w:val="60194FC5"/>
    <w:rsid w:val="60196D73"/>
    <w:rsid w:val="601975C1"/>
    <w:rsid w:val="601B2AEB"/>
    <w:rsid w:val="601D2D07"/>
    <w:rsid w:val="601E082E"/>
    <w:rsid w:val="602045A6"/>
    <w:rsid w:val="60210B27"/>
    <w:rsid w:val="60232B39"/>
    <w:rsid w:val="60237BF2"/>
    <w:rsid w:val="6025396A"/>
    <w:rsid w:val="602816AC"/>
    <w:rsid w:val="6028345A"/>
    <w:rsid w:val="602907AC"/>
    <w:rsid w:val="602A5424"/>
    <w:rsid w:val="602D36AE"/>
    <w:rsid w:val="603040BD"/>
    <w:rsid w:val="6031230F"/>
    <w:rsid w:val="60326EE6"/>
    <w:rsid w:val="60340051"/>
    <w:rsid w:val="60341DFF"/>
    <w:rsid w:val="60344390"/>
    <w:rsid w:val="603911C4"/>
    <w:rsid w:val="60395667"/>
    <w:rsid w:val="603B4555"/>
    <w:rsid w:val="603C0211"/>
    <w:rsid w:val="603D5158"/>
    <w:rsid w:val="603E670B"/>
    <w:rsid w:val="604007A4"/>
    <w:rsid w:val="604069F6"/>
    <w:rsid w:val="6045400C"/>
    <w:rsid w:val="60455DBA"/>
    <w:rsid w:val="60480146"/>
    <w:rsid w:val="604858AA"/>
    <w:rsid w:val="604C7149"/>
    <w:rsid w:val="605C661D"/>
    <w:rsid w:val="605D3104"/>
    <w:rsid w:val="60601B96"/>
    <w:rsid w:val="60603856"/>
    <w:rsid w:val="6062071A"/>
    <w:rsid w:val="6062696C"/>
    <w:rsid w:val="60651FB9"/>
    <w:rsid w:val="606808D9"/>
    <w:rsid w:val="606F72DB"/>
    <w:rsid w:val="60791F08"/>
    <w:rsid w:val="607A4C7A"/>
    <w:rsid w:val="607B7A2E"/>
    <w:rsid w:val="607E307A"/>
    <w:rsid w:val="60824919"/>
    <w:rsid w:val="60864E22"/>
    <w:rsid w:val="60870181"/>
    <w:rsid w:val="60874625"/>
    <w:rsid w:val="608763D3"/>
    <w:rsid w:val="608877C5"/>
    <w:rsid w:val="608E6AE7"/>
    <w:rsid w:val="608F34D9"/>
    <w:rsid w:val="60913EE6"/>
    <w:rsid w:val="60992FAF"/>
    <w:rsid w:val="60996106"/>
    <w:rsid w:val="60997EB4"/>
    <w:rsid w:val="609A4358"/>
    <w:rsid w:val="609F196E"/>
    <w:rsid w:val="60A07495"/>
    <w:rsid w:val="60A50489"/>
    <w:rsid w:val="60A70823"/>
    <w:rsid w:val="60A725D1"/>
    <w:rsid w:val="60A9459B"/>
    <w:rsid w:val="60AC5E39"/>
    <w:rsid w:val="60AF76D8"/>
    <w:rsid w:val="60B30F76"/>
    <w:rsid w:val="60B3541A"/>
    <w:rsid w:val="60B42F40"/>
    <w:rsid w:val="60B66CB8"/>
    <w:rsid w:val="60BB7E2A"/>
    <w:rsid w:val="60BC1BC3"/>
    <w:rsid w:val="60BC4D2B"/>
    <w:rsid w:val="60C03693"/>
    <w:rsid w:val="60C07B37"/>
    <w:rsid w:val="60C2565D"/>
    <w:rsid w:val="60C53E14"/>
    <w:rsid w:val="60C90799"/>
    <w:rsid w:val="60CC64DC"/>
    <w:rsid w:val="60CE5DB0"/>
    <w:rsid w:val="60D25F36"/>
    <w:rsid w:val="60D847A8"/>
    <w:rsid w:val="60D86C2E"/>
    <w:rsid w:val="60DA0BF8"/>
    <w:rsid w:val="60DA29A7"/>
    <w:rsid w:val="60DB227B"/>
    <w:rsid w:val="60DD4245"/>
    <w:rsid w:val="60DD7592"/>
    <w:rsid w:val="60E27AAD"/>
    <w:rsid w:val="60ED23E1"/>
    <w:rsid w:val="60F31CBA"/>
    <w:rsid w:val="60F33A68"/>
    <w:rsid w:val="60F4333C"/>
    <w:rsid w:val="60F668A1"/>
    <w:rsid w:val="60FD0443"/>
    <w:rsid w:val="60FF065F"/>
    <w:rsid w:val="61023CAB"/>
    <w:rsid w:val="61025A59"/>
    <w:rsid w:val="610572F8"/>
    <w:rsid w:val="61064C55"/>
    <w:rsid w:val="610712C2"/>
    <w:rsid w:val="610A2B60"/>
    <w:rsid w:val="610B3038"/>
    <w:rsid w:val="610F0176"/>
    <w:rsid w:val="6110461A"/>
    <w:rsid w:val="6111681F"/>
    <w:rsid w:val="6112665C"/>
    <w:rsid w:val="6115578D"/>
    <w:rsid w:val="6116474A"/>
    <w:rsid w:val="61167757"/>
    <w:rsid w:val="611807AB"/>
    <w:rsid w:val="6118761D"/>
    <w:rsid w:val="611B6B1B"/>
    <w:rsid w:val="611C2FBF"/>
    <w:rsid w:val="611D0AE5"/>
    <w:rsid w:val="611F03B9"/>
    <w:rsid w:val="61241E74"/>
    <w:rsid w:val="61243C22"/>
    <w:rsid w:val="61271964"/>
    <w:rsid w:val="61292712"/>
    <w:rsid w:val="6129748A"/>
    <w:rsid w:val="612B4FB0"/>
    <w:rsid w:val="612C6F7A"/>
    <w:rsid w:val="613100ED"/>
    <w:rsid w:val="613320B7"/>
    <w:rsid w:val="6138591F"/>
    <w:rsid w:val="613A51F3"/>
    <w:rsid w:val="613D507E"/>
    <w:rsid w:val="613F280A"/>
    <w:rsid w:val="6142679E"/>
    <w:rsid w:val="61446072"/>
    <w:rsid w:val="61473CD1"/>
    <w:rsid w:val="61493688"/>
    <w:rsid w:val="614A45EB"/>
    <w:rsid w:val="61511BEB"/>
    <w:rsid w:val="615269E1"/>
    <w:rsid w:val="615362B5"/>
    <w:rsid w:val="6155202D"/>
    <w:rsid w:val="6157463B"/>
    <w:rsid w:val="615A3AE7"/>
    <w:rsid w:val="615A7643"/>
    <w:rsid w:val="615C160D"/>
    <w:rsid w:val="615E036F"/>
    <w:rsid w:val="616109D2"/>
    <w:rsid w:val="61642270"/>
    <w:rsid w:val="6166423A"/>
    <w:rsid w:val="61671D60"/>
    <w:rsid w:val="61677FB2"/>
    <w:rsid w:val="616B1851"/>
    <w:rsid w:val="616B35FF"/>
    <w:rsid w:val="616E2A35"/>
    <w:rsid w:val="61730705"/>
    <w:rsid w:val="61757D37"/>
    <w:rsid w:val="617821BF"/>
    <w:rsid w:val="617A5F38"/>
    <w:rsid w:val="617D1584"/>
    <w:rsid w:val="617E4947"/>
    <w:rsid w:val="61874052"/>
    <w:rsid w:val="61882403"/>
    <w:rsid w:val="6189617B"/>
    <w:rsid w:val="618A64DA"/>
    <w:rsid w:val="618B1EF3"/>
    <w:rsid w:val="618C3680"/>
    <w:rsid w:val="618D7A19"/>
    <w:rsid w:val="618F6FE9"/>
    <w:rsid w:val="619157A0"/>
    <w:rsid w:val="61954B1F"/>
    <w:rsid w:val="61972646"/>
    <w:rsid w:val="619959F1"/>
    <w:rsid w:val="619A3EE4"/>
    <w:rsid w:val="619C4100"/>
    <w:rsid w:val="619F069C"/>
    <w:rsid w:val="619F599E"/>
    <w:rsid w:val="61A11716"/>
    <w:rsid w:val="61A36339"/>
    <w:rsid w:val="61A42FB4"/>
    <w:rsid w:val="61A82AA5"/>
    <w:rsid w:val="61A905CB"/>
    <w:rsid w:val="61AA6976"/>
    <w:rsid w:val="61AB1547"/>
    <w:rsid w:val="61AC1296"/>
    <w:rsid w:val="61AD00BB"/>
    <w:rsid w:val="61AD3C17"/>
    <w:rsid w:val="61AD7FAC"/>
    <w:rsid w:val="61AE798F"/>
    <w:rsid w:val="61B01959"/>
    <w:rsid w:val="61B72CE8"/>
    <w:rsid w:val="61B74A96"/>
    <w:rsid w:val="61B76844"/>
    <w:rsid w:val="61B8296D"/>
    <w:rsid w:val="61B9082C"/>
    <w:rsid w:val="61BE5E24"/>
    <w:rsid w:val="61BE6511"/>
    <w:rsid w:val="61C00B9C"/>
    <w:rsid w:val="61C022DD"/>
    <w:rsid w:val="61C15914"/>
    <w:rsid w:val="61C40F61"/>
    <w:rsid w:val="61C4751D"/>
    <w:rsid w:val="61C76931"/>
    <w:rsid w:val="61C8341A"/>
    <w:rsid w:val="61CA2A1B"/>
    <w:rsid w:val="61D03DA9"/>
    <w:rsid w:val="61D07906"/>
    <w:rsid w:val="61D41BE3"/>
    <w:rsid w:val="61D513C0"/>
    <w:rsid w:val="61D64503"/>
    <w:rsid w:val="61D95505"/>
    <w:rsid w:val="61DB4C28"/>
    <w:rsid w:val="61DC62AA"/>
    <w:rsid w:val="61DE2022"/>
    <w:rsid w:val="61E11B13"/>
    <w:rsid w:val="61E416D8"/>
    <w:rsid w:val="61E81904"/>
    <w:rsid w:val="61E84C4F"/>
    <w:rsid w:val="61EB1FBC"/>
    <w:rsid w:val="61EB30E0"/>
    <w:rsid w:val="61EB473F"/>
    <w:rsid w:val="61ED6709"/>
    <w:rsid w:val="61ED724F"/>
    <w:rsid w:val="61FA2BD4"/>
    <w:rsid w:val="61FB0E26"/>
    <w:rsid w:val="61FB7C8A"/>
    <w:rsid w:val="61FC06FB"/>
    <w:rsid w:val="61FE227F"/>
    <w:rsid w:val="61FF370F"/>
    <w:rsid w:val="620039AE"/>
    <w:rsid w:val="62012E19"/>
    <w:rsid w:val="62045801"/>
    <w:rsid w:val="62061579"/>
    <w:rsid w:val="62065A1D"/>
    <w:rsid w:val="62083543"/>
    <w:rsid w:val="6208709F"/>
    <w:rsid w:val="620C4DF8"/>
    <w:rsid w:val="620D0B5A"/>
    <w:rsid w:val="620D46B6"/>
    <w:rsid w:val="621023F8"/>
    <w:rsid w:val="62110AC2"/>
    <w:rsid w:val="62122920"/>
    <w:rsid w:val="62173786"/>
    <w:rsid w:val="62195750"/>
    <w:rsid w:val="621B3277"/>
    <w:rsid w:val="621C0D9D"/>
    <w:rsid w:val="621C2B4B"/>
    <w:rsid w:val="621C616D"/>
    <w:rsid w:val="621E4B15"/>
    <w:rsid w:val="621F43E9"/>
    <w:rsid w:val="62206ADF"/>
    <w:rsid w:val="62257C51"/>
    <w:rsid w:val="622814F0"/>
    <w:rsid w:val="622A5268"/>
    <w:rsid w:val="622B0FE0"/>
    <w:rsid w:val="622C5121"/>
    <w:rsid w:val="622C5484"/>
    <w:rsid w:val="622D4D58"/>
    <w:rsid w:val="622E40FC"/>
    <w:rsid w:val="623161EC"/>
    <w:rsid w:val="62375BD7"/>
    <w:rsid w:val="623A1223"/>
    <w:rsid w:val="623A229A"/>
    <w:rsid w:val="623C31ED"/>
    <w:rsid w:val="623E0D13"/>
    <w:rsid w:val="623E51B7"/>
    <w:rsid w:val="62402CDD"/>
    <w:rsid w:val="6243457B"/>
    <w:rsid w:val="624502F4"/>
    <w:rsid w:val="62481B92"/>
    <w:rsid w:val="62487DE4"/>
    <w:rsid w:val="624A5896"/>
    <w:rsid w:val="624B51DE"/>
    <w:rsid w:val="624C1682"/>
    <w:rsid w:val="624C22EE"/>
    <w:rsid w:val="624D0F56"/>
    <w:rsid w:val="625000DC"/>
    <w:rsid w:val="62514446"/>
    <w:rsid w:val="62514EEA"/>
    <w:rsid w:val="6252656D"/>
    <w:rsid w:val="62552691"/>
    <w:rsid w:val="625E13B5"/>
    <w:rsid w:val="62600C89"/>
    <w:rsid w:val="6263414D"/>
    <w:rsid w:val="62662018"/>
    <w:rsid w:val="626A7D5A"/>
    <w:rsid w:val="626B762E"/>
    <w:rsid w:val="626F5370"/>
    <w:rsid w:val="627110E9"/>
    <w:rsid w:val="62726C0F"/>
    <w:rsid w:val="62797F3D"/>
    <w:rsid w:val="627E55B4"/>
    <w:rsid w:val="628506F0"/>
    <w:rsid w:val="62857C15"/>
    <w:rsid w:val="62864468"/>
    <w:rsid w:val="628801E0"/>
    <w:rsid w:val="628A21AA"/>
    <w:rsid w:val="628A3F58"/>
    <w:rsid w:val="62913539"/>
    <w:rsid w:val="62922E0D"/>
    <w:rsid w:val="62960B4F"/>
    <w:rsid w:val="62966DA1"/>
    <w:rsid w:val="62976675"/>
    <w:rsid w:val="62994F8F"/>
    <w:rsid w:val="629C639F"/>
    <w:rsid w:val="629C6D53"/>
    <w:rsid w:val="629D1EDE"/>
    <w:rsid w:val="62A34BBD"/>
    <w:rsid w:val="62A36DC8"/>
    <w:rsid w:val="62A72841"/>
    <w:rsid w:val="62A82630"/>
    <w:rsid w:val="62AE3E52"/>
    <w:rsid w:val="62AE40EB"/>
    <w:rsid w:val="62B45479"/>
    <w:rsid w:val="62B50778"/>
    <w:rsid w:val="62B579C2"/>
    <w:rsid w:val="62B62164"/>
    <w:rsid w:val="62B64D4D"/>
    <w:rsid w:val="62B72874"/>
    <w:rsid w:val="62BB05B6"/>
    <w:rsid w:val="62BB6808"/>
    <w:rsid w:val="62BE1E54"/>
    <w:rsid w:val="62C3746A"/>
    <w:rsid w:val="62C70D09"/>
    <w:rsid w:val="62C730E9"/>
    <w:rsid w:val="62C777E9"/>
    <w:rsid w:val="62CC0D93"/>
    <w:rsid w:val="62D14F8C"/>
    <w:rsid w:val="62D227EB"/>
    <w:rsid w:val="62D578C9"/>
    <w:rsid w:val="62DA698E"/>
    <w:rsid w:val="62DB7DE3"/>
    <w:rsid w:val="62DD052C"/>
    <w:rsid w:val="62E278F0"/>
    <w:rsid w:val="62E713AB"/>
    <w:rsid w:val="62E96ED1"/>
    <w:rsid w:val="62EE2739"/>
    <w:rsid w:val="62F06D62"/>
    <w:rsid w:val="62F15D85"/>
    <w:rsid w:val="62F31AFE"/>
    <w:rsid w:val="62F6339C"/>
    <w:rsid w:val="62FB09B2"/>
    <w:rsid w:val="62FD0BCE"/>
    <w:rsid w:val="62FD472A"/>
    <w:rsid w:val="62FE72D8"/>
    <w:rsid w:val="630261E5"/>
    <w:rsid w:val="63043D0B"/>
    <w:rsid w:val="63092E9C"/>
    <w:rsid w:val="631303F2"/>
    <w:rsid w:val="63136B1F"/>
    <w:rsid w:val="63161C90"/>
    <w:rsid w:val="63163A3E"/>
    <w:rsid w:val="6316638F"/>
    <w:rsid w:val="6318505B"/>
    <w:rsid w:val="63201DD6"/>
    <w:rsid w:val="63206B41"/>
    <w:rsid w:val="63220635"/>
    <w:rsid w:val="63224191"/>
    <w:rsid w:val="6322497F"/>
    <w:rsid w:val="632259C4"/>
    <w:rsid w:val="63263D0D"/>
    <w:rsid w:val="63273E9D"/>
    <w:rsid w:val="6329551F"/>
    <w:rsid w:val="632B3A10"/>
    <w:rsid w:val="632D2297"/>
    <w:rsid w:val="632E0AD6"/>
    <w:rsid w:val="632F62F8"/>
    <w:rsid w:val="63387E58"/>
    <w:rsid w:val="633914DA"/>
    <w:rsid w:val="633A3BD0"/>
    <w:rsid w:val="633B5253"/>
    <w:rsid w:val="633D0FCB"/>
    <w:rsid w:val="63400ABB"/>
    <w:rsid w:val="63402869"/>
    <w:rsid w:val="634376A1"/>
    <w:rsid w:val="634467FD"/>
    <w:rsid w:val="63493E13"/>
    <w:rsid w:val="63497970"/>
    <w:rsid w:val="634B193A"/>
    <w:rsid w:val="634B7B8C"/>
    <w:rsid w:val="634C3904"/>
    <w:rsid w:val="634D2D5C"/>
    <w:rsid w:val="63584057"/>
    <w:rsid w:val="63607CF7"/>
    <w:rsid w:val="63620A31"/>
    <w:rsid w:val="63624ED5"/>
    <w:rsid w:val="63632B45"/>
    <w:rsid w:val="636447A9"/>
    <w:rsid w:val="63653261"/>
    <w:rsid w:val="63657B08"/>
    <w:rsid w:val="63676048"/>
    <w:rsid w:val="636B1FDC"/>
    <w:rsid w:val="636B3D8A"/>
    <w:rsid w:val="636C365E"/>
    <w:rsid w:val="636E73D6"/>
    <w:rsid w:val="63725459"/>
    <w:rsid w:val="6373260F"/>
    <w:rsid w:val="637349EC"/>
    <w:rsid w:val="63754C08"/>
    <w:rsid w:val="637569B7"/>
    <w:rsid w:val="63781D20"/>
    <w:rsid w:val="63844E4C"/>
    <w:rsid w:val="63856413"/>
    <w:rsid w:val="63864720"/>
    <w:rsid w:val="63881760"/>
    <w:rsid w:val="638A0392"/>
    <w:rsid w:val="638B7F88"/>
    <w:rsid w:val="638D1F52"/>
    <w:rsid w:val="638E62D2"/>
    <w:rsid w:val="63901A42"/>
    <w:rsid w:val="639050EC"/>
    <w:rsid w:val="63911317"/>
    <w:rsid w:val="63960BC7"/>
    <w:rsid w:val="639A01CB"/>
    <w:rsid w:val="639D7CBB"/>
    <w:rsid w:val="63A61A6C"/>
    <w:rsid w:val="63A66B70"/>
    <w:rsid w:val="63AD54D7"/>
    <w:rsid w:val="63AE1EC8"/>
    <w:rsid w:val="63B05F61"/>
    <w:rsid w:val="63B1353D"/>
    <w:rsid w:val="63B629CE"/>
    <w:rsid w:val="63B75C6E"/>
    <w:rsid w:val="63BA6ABF"/>
    <w:rsid w:val="63BC6393"/>
    <w:rsid w:val="63BC73E8"/>
    <w:rsid w:val="63BD210C"/>
    <w:rsid w:val="63BD3EBA"/>
    <w:rsid w:val="63BF40D6"/>
    <w:rsid w:val="63C11BFC"/>
    <w:rsid w:val="63C24F56"/>
    <w:rsid w:val="63C27722"/>
    <w:rsid w:val="63C67212"/>
    <w:rsid w:val="63C92CB3"/>
    <w:rsid w:val="63C94F54"/>
    <w:rsid w:val="63CD05A1"/>
    <w:rsid w:val="63CD0616"/>
    <w:rsid w:val="63CE60C7"/>
    <w:rsid w:val="63D201A3"/>
    <w:rsid w:val="63D336DD"/>
    <w:rsid w:val="63D47B81"/>
    <w:rsid w:val="63D731CD"/>
    <w:rsid w:val="63D80CF3"/>
    <w:rsid w:val="63DB5069"/>
    <w:rsid w:val="63DD630A"/>
    <w:rsid w:val="63DF6D3D"/>
    <w:rsid w:val="63E1404C"/>
    <w:rsid w:val="63E15DFA"/>
    <w:rsid w:val="63E31B72"/>
    <w:rsid w:val="63EA74BF"/>
    <w:rsid w:val="63EB7331"/>
    <w:rsid w:val="63ED0C43"/>
    <w:rsid w:val="63ED29F1"/>
    <w:rsid w:val="63EE6769"/>
    <w:rsid w:val="63F21E60"/>
    <w:rsid w:val="63F47351"/>
    <w:rsid w:val="63F83144"/>
    <w:rsid w:val="63F90629"/>
    <w:rsid w:val="63F91396"/>
    <w:rsid w:val="63FE69AC"/>
    <w:rsid w:val="64003D27"/>
    <w:rsid w:val="64055F8C"/>
    <w:rsid w:val="640B2E77"/>
    <w:rsid w:val="640C770B"/>
    <w:rsid w:val="640D6BEF"/>
    <w:rsid w:val="64122457"/>
    <w:rsid w:val="641461CF"/>
    <w:rsid w:val="64153CF6"/>
    <w:rsid w:val="64191A38"/>
    <w:rsid w:val="641F4B74"/>
    <w:rsid w:val="64202DC6"/>
    <w:rsid w:val="642108EC"/>
    <w:rsid w:val="6421269A"/>
    <w:rsid w:val="64230C8E"/>
    <w:rsid w:val="64243F39"/>
    <w:rsid w:val="642503DD"/>
    <w:rsid w:val="64281C7B"/>
    <w:rsid w:val="64283A29"/>
    <w:rsid w:val="642857C4"/>
    <w:rsid w:val="642D54E3"/>
    <w:rsid w:val="642F4DB7"/>
    <w:rsid w:val="64322AF9"/>
    <w:rsid w:val="64326656"/>
    <w:rsid w:val="64340620"/>
    <w:rsid w:val="64356146"/>
    <w:rsid w:val="64357EF4"/>
    <w:rsid w:val="64370110"/>
    <w:rsid w:val="64373C6C"/>
    <w:rsid w:val="64395A85"/>
    <w:rsid w:val="643F0D73"/>
    <w:rsid w:val="64430863"/>
    <w:rsid w:val="64432611"/>
    <w:rsid w:val="644763D7"/>
    <w:rsid w:val="64487C27"/>
    <w:rsid w:val="6449399F"/>
    <w:rsid w:val="644A7E43"/>
    <w:rsid w:val="644B7717"/>
    <w:rsid w:val="644F7208"/>
    <w:rsid w:val="64504D2E"/>
    <w:rsid w:val="64505A3F"/>
    <w:rsid w:val="645111A5"/>
    <w:rsid w:val="64520AA6"/>
    <w:rsid w:val="64542A70"/>
    <w:rsid w:val="64572366"/>
    <w:rsid w:val="6457430E"/>
    <w:rsid w:val="645B2050"/>
    <w:rsid w:val="645E38EF"/>
    <w:rsid w:val="645E569D"/>
    <w:rsid w:val="64601415"/>
    <w:rsid w:val="64621799"/>
    <w:rsid w:val="64634A61"/>
    <w:rsid w:val="64644DAD"/>
    <w:rsid w:val="64656A2B"/>
    <w:rsid w:val="646B1B68"/>
    <w:rsid w:val="646B456F"/>
    <w:rsid w:val="646D768E"/>
    <w:rsid w:val="646E04C5"/>
    <w:rsid w:val="646F3406"/>
    <w:rsid w:val="6472739A"/>
    <w:rsid w:val="64754794"/>
    <w:rsid w:val="64760C38"/>
    <w:rsid w:val="6477050C"/>
    <w:rsid w:val="64794284"/>
    <w:rsid w:val="647C5B23"/>
    <w:rsid w:val="6481138B"/>
    <w:rsid w:val="64833CFC"/>
    <w:rsid w:val="6488096B"/>
    <w:rsid w:val="648D5F82"/>
    <w:rsid w:val="649015CE"/>
    <w:rsid w:val="649548FB"/>
    <w:rsid w:val="64986E00"/>
    <w:rsid w:val="64990483"/>
    <w:rsid w:val="64994927"/>
    <w:rsid w:val="649C4F17"/>
    <w:rsid w:val="649C61C5"/>
    <w:rsid w:val="649F37A3"/>
    <w:rsid w:val="64A01811"/>
    <w:rsid w:val="64A05CB5"/>
    <w:rsid w:val="64A07A63"/>
    <w:rsid w:val="64A82DBC"/>
    <w:rsid w:val="64AA08E2"/>
    <w:rsid w:val="64AD388C"/>
    <w:rsid w:val="64B17EC2"/>
    <w:rsid w:val="64B41760"/>
    <w:rsid w:val="64B452BD"/>
    <w:rsid w:val="64B60830"/>
    <w:rsid w:val="64B61035"/>
    <w:rsid w:val="64B654D9"/>
    <w:rsid w:val="64B67287"/>
    <w:rsid w:val="64B81251"/>
    <w:rsid w:val="64BD6867"/>
    <w:rsid w:val="64C2170E"/>
    <w:rsid w:val="64C25C2B"/>
    <w:rsid w:val="64C33752"/>
    <w:rsid w:val="64C5571C"/>
    <w:rsid w:val="64C6694E"/>
    <w:rsid w:val="64C71494"/>
    <w:rsid w:val="64CA2D32"/>
    <w:rsid w:val="64CE2822"/>
    <w:rsid w:val="64CF659A"/>
    <w:rsid w:val="64D4770D"/>
    <w:rsid w:val="64D61F15"/>
    <w:rsid w:val="64D81CF5"/>
    <w:rsid w:val="64D94D23"/>
    <w:rsid w:val="64DB0A9B"/>
    <w:rsid w:val="64DC3A26"/>
    <w:rsid w:val="64DF396B"/>
    <w:rsid w:val="64E04304"/>
    <w:rsid w:val="64E060B2"/>
    <w:rsid w:val="64E20939"/>
    <w:rsid w:val="64E262CE"/>
    <w:rsid w:val="64E275B7"/>
    <w:rsid w:val="64E41216"/>
    <w:rsid w:val="64E42046"/>
    <w:rsid w:val="64E57B6C"/>
    <w:rsid w:val="64E75692"/>
    <w:rsid w:val="64E77440"/>
    <w:rsid w:val="64EA33D4"/>
    <w:rsid w:val="64EA6F30"/>
    <w:rsid w:val="64EC170C"/>
    <w:rsid w:val="64EC2CA8"/>
    <w:rsid w:val="64F1206D"/>
    <w:rsid w:val="64F16511"/>
    <w:rsid w:val="64F25DE5"/>
    <w:rsid w:val="64F32289"/>
    <w:rsid w:val="64F47DAF"/>
    <w:rsid w:val="64F658D5"/>
    <w:rsid w:val="64F97173"/>
    <w:rsid w:val="64FC5F3B"/>
    <w:rsid w:val="65006754"/>
    <w:rsid w:val="65045E61"/>
    <w:rsid w:val="65051FBC"/>
    <w:rsid w:val="65085608"/>
    <w:rsid w:val="650E1799"/>
    <w:rsid w:val="650F4BE9"/>
    <w:rsid w:val="6511270F"/>
    <w:rsid w:val="65167D25"/>
    <w:rsid w:val="65181CEF"/>
    <w:rsid w:val="651915C4"/>
    <w:rsid w:val="651A14C4"/>
    <w:rsid w:val="651B617E"/>
    <w:rsid w:val="651D2E62"/>
    <w:rsid w:val="651E4E2C"/>
    <w:rsid w:val="652266CA"/>
    <w:rsid w:val="652341F0"/>
    <w:rsid w:val="6525440C"/>
    <w:rsid w:val="652A1A23"/>
    <w:rsid w:val="652B466B"/>
    <w:rsid w:val="652B723C"/>
    <w:rsid w:val="652C2E08"/>
    <w:rsid w:val="652F2B95"/>
    <w:rsid w:val="652F7039"/>
    <w:rsid w:val="653603C7"/>
    <w:rsid w:val="65366619"/>
    <w:rsid w:val="653A1C66"/>
    <w:rsid w:val="65420BAE"/>
    <w:rsid w:val="65436640"/>
    <w:rsid w:val="654505C8"/>
    <w:rsid w:val="65472703"/>
    <w:rsid w:val="65474383"/>
    <w:rsid w:val="65485FA6"/>
    <w:rsid w:val="6549634D"/>
    <w:rsid w:val="654A79CF"/>
    <w:rsid w:val="654B6057"/>
    <w:rsid w:val="654E3963"/>
    <w:rsid w:val="65520C3E"/>
    <w:rsid w:val="65530F79"/>
    <w:rsid w:val="655B7E2E"/>
    <w:rsid w:val="655D5954"/>
    <w:rsid w:val="655F347A"/>
    <w:rsid w:val="655F791E"/>
    <w:rsid w:val="6561406F"/>
    <w:rsid w:val="65640326"/>
    <w:rsid w:val="6564665F"/>
    <w:rsid w:val="6567728C"/>
    <w:rsid w:val="656C455D"/>
    <w:rsid w:val="657038D9"/>
    <w:rsid w:val="65711400"/>
    <w:rsid w:val="65742AAC"/>
    <w:rsid w:val="65757142"/>
    <w:rsid w:val="657607C4"/>
    <w:rsid w:val="657D5FF6"/>
    <w:rsid w:val="65817895"/>
    <w:rsid w:val="65847385"/>
    <w:rsid w:val="65863C10"/>
    <w:rsid w:val="65870C23"/>
    <w:rsid w:val="65875559"/>
    <w:rsid w:val="65876E75"/>
    <w:rsid w:val="65886BC7"/>
    <w:rsid w:val="6589499B"/>
    <w:rsid w:val="658C6239"/>
    <w:rsid w:val="658D448B"/>
    <w:rsid w:val="65907AD8"/>
    <w:rsid w:val="659155FE"/>
    <w:rsid w:val="65931376"/>
    <w:rsid w:val="659424CF"/>
    <w:rsid w:val="65960E66"/>
    <w:rsid w:val="659770B8"/>
    <w:rsid w:val="65982F48"/>
    <w:rsid w:val="65984BDE"/>
    <w:rsid w:val="6599280F"/>
    <w:rsid w:val="659A6BA8"/>
    <w:rsid w:val="659D0447"/>
    <w:rsid w:val="659D4F21"/>
    <w:rsid w:val="659E7E69"/>
    <w:rsid w:val="65A45561"/>
    <w:rsid w:val="65A610A9"/>
    <w:rsid w:val="65A90B99"/>
    <w:rsid w:val="65AC2FF2"/>
    <w:rsid w:val="65AE61B0"/>
    <w:rsid w:val="65B00232"/>
    <w:rsid w:val="65B17A4E"/>
    <w:rsid w:val="65B512EC"/>
    <w:rsid w:val="65B5538A"/>
    <w:rsid w:val="65B5753E"/>
    <w:rsid w:val="65B65064"/>
    <w:rsid w:val="65B71508"/>
    <w:rsid w:val="65B85280"/>
    <w:rsid w:val="65C07C91"/>
    <w:rsid w:val="65C43C25"/>
    <w:rsid w:val="65C77271"/>
    <w:rsid w:val="65D200F0"/>
    <w:rsid w:val="65D22501"/>
    <w:rsid w:val="65D363F6"/>
    <w:rsid w:val="65D379C4"/>
    <w:rsid w:val="65D90E46"/>
    <w:rsid w:val="65D977AA"/>
    <w:rsid w:val="65DA0D53"/>
    <w:rsid w:val="65E120E1"/>
    <w:rsid w:val="65E16585"/>
    <w:rsid w:val="65E30E63"/>
    <w:rsid w:val="65E9368C"/>
    <w:rsid w:val="65EB2F60"/>
    <w:rsid w:val="65EC7A59"/>
    <w:rsid w:val="65ED7015"/>
    <w:rsid w:val="65EE47FE"/>
    <w:rsid w:val="65F04A1A"/>
    <w:rsid w:val="65F30067"/>
    <w:rsid w:val="65F31E15"/>
    <w:rsid w:val="65F35338"/>
    <w:rsid w:val="65F52031"/>
    <w:rsid w:val="65F53DDF"/>
    <w:rsid w:val="65FC6F1B"/>
    <w:rsid w:val="66012783"/>
    <w:rsid w:val="66027ADA"/>
    <w:rsid w:val="660404C6"/>
    <w:rsid w:val="660672FC"/>
    <w:rsid w:val="660B1854"/>
    <w:rsid w:val="660B3602"/>
    <w:rsid w:val="660B715E"/>
    <w:rsid w:val="660E0C4E"/>
    <w:rsid w:val="660E4EA0"/>
    <w:rsid w:val="660E6C4E"/>
    <w:rsid w:val="661029C7"/>
    <w:rsid w:val="661204ED"/>
    <w:rsid w:val="661324B7"/>
    <w:rsid w:val="66133630"/>
    <w:rsid w:val="66154481"/>
    <w:rsid w:val="66173D55"/>
    <w:rsid w:val="6618760C"/>
    <w:rsid w:val="661F2C0A"/>
    <w:rsid w:val="661F70AE"/>
    <w:rsid w:val="66206561"/>
    <w:rsid w:val="662144F3"/>
    <w:rsid w:val="66214BD4"/>
    <w:rsid w:val="66216982"/>
    <w:rsid w:val="662841B4"/>
    <w:rsid w:val="662B4062"/>
    <w:rsid w:val="662D5327"/>
    <w:rsid w:val="662F5543"/>
    <w:rsid w:val="66303069"/>
    <w:rsid w:val="663126B9"/>
    <w:rsid w:val="6632293D"/>
    <w:rsid w:val="66324275"/>
    <w:rsid w:val="66337FE9"/>
    <w:rsid w:val="66342B59"/>
    <w:rsid w:val="6635628F"/>
    <w:rsid w:val="66360BD7"/>
    <w:rsid w:val="66377F53"/>
    <w:rsid w:val="663A3EE7"/>
    <w:rsid w:val="663A5C95"/>
    <w:rsid w:val="663C7C5F"/>
    <w:rsid w:val="663E7534"/>
    <w:rsid w:val="664663E8"/>
    <w:rsid w:val="664B39FF"/>
    <w:rsid w:val="664D2080"/>
    <w:rsid w:val="665054B9"/>
    <w:rsid w:val="66514481"/>
    <w:rsid w:val="66540B05"/>
    <w:rsid w:val="66575D03"/>
    <w:rsid w:val="66576847"/>
    <w:rsid w:val="66582833"/>
    <w:rsid w:val="66587599"/>
    <w:rsid w:val="665A1E94"/>
    <w:rsid w:val="665E7BD6"/>
    <w:rsid w:val="665F74AA"/>
    <w:rsid w:val="66630D48"/>
    <w:rsid w:val="6663343E"/>
    <w:rsid w:val="66666A8A"/>
    <w:rsid w:val="666A657B"/>
    <w:rsid w:val="666D166A"/>
    <w:rsid w:val="666D606B"/>
    <w:rsid w:val="666E0D5E"/>
    <w:rsid w:val="666F3B91"/>
    <w:rsid w:val="666F593F"/>
    <w:rsid w:val="66754F1F"/>
    <w:rsid w:val="667557A4"/>
    <w:rsid w:val="6679056C"/>
    <w:rsid w:val="667A42E4"/>
    <w:rsid w:val="667C4500"/>
    <w:rsid w:val="66811B16"/>
    <w:rsid w:val="668223FF"/>
    <w:rsid w:val="66884C53"/>
    <w:rsid w:val="668855C0"/>
    <w:rsid w:val="668A3762"/>
    <w:rsid w:val="668D4017"/>
    <w:rsid w:val="669929BC"/>
    <w:rsid w:val="669971ED"/>
    <w:rsid w:val="669C224C"/>
    <w:rsid w:val="669E4476"/>
    <w:rsid w:val="669E6224"/>
    <w:rsid w:val="669F5C50"/>
    <w:rsid w:val="66A82BFF"/>
    <w:rsid w:val="66A852F5"/>
    <w:rsid w:val="66AF3F8D"/>
    <w:rsid w:val="66B07D06"/>
    <w:rsid w:val="66B27D9D"/>
    <w:rsid w:val="66B27F22"/>
    <w:rsid w:val="66BB0B84"/>
    <w:rsid w:val="66BB6DD6"/>
    <w:rsid w:val="66BE0674"/>
    <w:rsid w:val="66BE2423"/>
    <w:rsid w:val="66BF2BB3"/>
    <w:rsid w:val="66C51A03"/>
    <w:rsid w:val="66C66E69"/>
    <w:rsid w:val="66CB25C9"/>
    <w:rsid w:val="66CC0FE3"/>
    <w:rsid w:val="66CC729F"/>
    <w:rsid w:val="66CF2882"/>
    <w:rsid w:val="66D41C46"/>
    <w:rsid w:val="66D439F4"/>
    <w:rsid w:val="66D47E98"/>
    <w:rsid w:val="66D93700"/>
    <w:rsid w:val="66D9725C"/>
    <w:rsid w:val="66E31E89"/>
    <w:rsid w:val="66E77BCB"/>
    <w:rsid w:val="66E9246C"/>
    <w:rsid w:val="66EA76BB"/>
    <w:rsid w:val="66EB64CB"/>
    <w:rsid w:val="66ED2D08"/>
    <w:rsid w:val="66ED4AB6"/>
    <w:rsid w:val="66F10A4A"/>
    <w:rsid w:val="66F2031E"/>
    <w:rsid w:val="66F26570"/>
    <w:rsid w:val="66F44096"/>
    <w:rsid w:val="66F45E44"/>
    <w:rsid w:val="66F61BBC"/>
    <w:rsid w:val="66F67E0E"/>
    <w:rsid w:val="66F81DD8"/>
    <w:rsid w:val="66F866E2"/>
    <w:rsid w:val="66FC2F4B"/>
    <w:rsid w:val="66FD2343"/>
    <w:rsid w:val="67000C8D"/>
    <w:rsid w:val="670A1B0C"/>
    <w:rsid w:val="670A5668"/>
    <w:rsid w:val="670C09A8"/>
    <w:rsid w:val="670D669E"/>
    <w:rsid w:val="670E33AA"/>
    <w:rsid w:val="671309C0"/>
    <w:rsid w:val="67141D0B"/>
    <w:rsid w:val="672030DD"/>
    <w:rsid w:val="67206C39"/>
    <w:rsid w:val="67234DAF"/>
    <w:rsid w:val="672524A2"/>
    <w:rsid w:val="67256946"/>
    <w:rsid w:val="672755B0"/>
    <w:rsid w:val="67281F92"/>
    <w:rsid w:val="67291611"/>
    <w:rsid w:val="672E15F2"/>
    <w:rsid w:val="672E57FA"/>
    <w:rsid w:val="672F3320"/>
    <w:rsid w:val="67317098"/>
    <w:rsid w:val="673426E5"/>
    <w:rsid w:val="67362901"/>
    <w:rsid w:val="67386679"/>
    <w:rsid w:val="67397CFB"/>
    <w:rsid w:val="673D3AD3"/>
    <w:rsid w:val="673F7A07"/>
    <w:rsid w:val="67420B36"/>
    <w:rsid w:val="674212A6"/>
    <w:rsid w:val="67423054"/>
    <w:rsid w:val="674535E3"/>
    <w:rsid w:val="674548F2"/>
    <w:rsid w:val="6747611A"/>
    <w:rsid w:val="67486190"/>
    <w:rsid w:val="674A015A"/>
    <w:rsid w:val="674C7A2E"/>
    <w:rsid w:val="674F6B10"/>
    <w:rsid w:val="674F751F"/>
    <w:rsid w:val="67513297"/>
    <w:rsid w:val="67545C2D"/>
    <w:rsid w:val="67564D51"/>
    <w:rsid w:val="67584625"/>
    <w:rsid w:val="675A65EF"/>
    <w:rsid w:val="675F42B1"/>
    <w:rsid w:val="676236F6"/>
    <w:rsid w:val="67656D42"/>
    <w:rsid w:val="676A4358"/>
    <w:rsid w:val="676A6106"/>
    <w:rsid w:val="676C00D0"/>
    <w:rsid w:val="676E3F85"/>
    <w:rsid w:val="676E5BF7"/>
    <w:rsid w:val="6772249D"/>
    <w:rsid w:val="6773320D"/>
    <w:rsid w:val="67760F4F"/>
    <w:rsid w:val="677A27ED"/>
    <w:rsid w:val="677E1BB2"/>
    <w:rsid w:val="677F6056"/>
    <w:rsid w:val="677F7E04"/>
    <w:rsid w:val="6784366C"/>
    <w:rsid w:val="67852F40"/>
    <w:rsid w:val="678637E0"/>
    <w:rsid w:val="678673E4"/>
    <w:rsid w:val="6787315C"/>
    <w:rsid w:val="678A0557"/>
    <w:rsid w:val="678E0047"/>
    <w:rsid w:val="678E44EB"/>
    <w:rsid w:val="678F3DBF"/>
    <w:rsid w:val="67902011"/>
    <w:rsid w:val="67955879"/>
    <w:rsid w:val="67955C4B"/>
    <w:rsid w:val="679A5D0C"/>
    <w:rsid w:val="679B09B6"/>
    <w:rsid w:val="679B2B45"/>
    <w:rsid w:val="679D326A"/>
    <w:rsid w:val="679F2254"/>
    <w:rsid w:val="67A27F96"/>
    <w:rsid w:val="67A4786A"/>
    <w:rsid w:val="67A51B7A"/>
    <w:rsid w:val="67A930D3"/>
    <w:rsid w:val="67AA791C"/>
    <w:rsid w:val="67B37BBA"/>
    <w:rsid w:val="67B51A77"/>
    <w:rsid w:val="67B657F0"/>
    <w:rsid w:val="67B6759E"/>
    <w:rsid w:val="67B76287"/>
    <w:rsid w:val="67B83316"/>
    <w:rsid w:val="67B83777"/>
    <w:rsid w:val="67BA0E3C"/>
    <w:rsid w:val="67BC1058"/>
    <w:rsid w:val="67BC2E06"/>
    <w:rsid w:val="67BF28F6"/>
    <w:rsid w:val="67C21C75"/>
    <w:rsid w:val="67C24194"/>
    <w:rsid w:val="67C25F42"/>
    <w:rsid w:val="67C27CF0"/>
    <w:rsid w:val="67C41CBB"/>
    <w:rsid w:val="67C577E1"/>
    <w:rsid w:val="67C779FD"/>
    <w:rsid w:val="67C9107F"/>
    <w:rsid w:val="67CF5C52"/>
    <w:rsid w:val="67D059A1"/>
    <w:rsid w:val="67D643E4"/>
    <w:rsid w:val="67DB7004"/>
    <w:rsid w:val="67DE2B76"/>
    <w:rsid w:val="67DF08A2"/>
    <w:rsid w:val="67E4235D"/>
    <w:rsid w:val="67E61C31"/>
    <w:rsid w:val="67E73BFB"/>
    <w:rsid w:val="67EB5499"/>
    <w:rsid w:val="67ED7463"/>
    <w:rsid w:val="67EF1607"/>
    <w:rsid w:val="67F307F2"/>
    <w:rsid w:val="67F65BEC"/>
    <w:rsid w:val="67FC76A6"/>
    <w:rsid w:val="67FF0F45"/>
    <w:rsid w:val="67FF7197"/>
    <w:rsid w:val="68014CBD"/>
    <w:rsid w:val="680622D3"/>
    <w:rsid w:val="68077DF9"/>
    <w:rsid w:val="680E59A9"/>
    <w:rsid w:val="68104F00"/>
    <w:rsid w:val="68112A26"/>
    <w:rsid w:val="681253D0"/>
    <w:rsid w:val="681D761D"/>
    <w:rsid w:val="682409AB"/>
    <w:rsid w:val="68243E7A"/>
    <w:rsid w:val="68246BFD"/>
    <w:rsid w:val="68262975"/>
    <w:rsid w:val="68282249"/>
    <w:rsid w:val="68295FC1"/>
    <w:rsid w:val="682B1D3A"/>
    <w:rsid w:val="682D3360"/>
    <w:rsid w:val="682E35D8"/>
    <w:rsid w:val="682E5386"/>
    <w:rsid w:val="6837248C"/>
    <w:rsid w:val="68376930"/>
    <w:rsid w:val="683926A8"/>
    <w:rsid w:val="683A2195"/>
    <w:rsid w:val="683E1A6D"/>
    <w:rsid w:val="6841155D"/>
    <w:rsid w:val="684150B9"/>
    <w:rsid w:val="68420814"/>
    <w:rsid w:val="68442DFB"/>
    <w:rsid w:val="68460921"/>
    <w:rsid w:val="68464F3B"/>
    <w:rsid w:val="684728B7"/>
    <w:rsid w:val="684A64D9"/>
    <w:rsid w:val="684B418A"/>
    <w:rsid w:val="684E5A28"/>
    <w:rsid w:val="684F3C7A"/>
    <w:rsid w:val="6850354E"/>
    <w:rsid w:val="6852376A"/>
    <w:rsid w:val="685272C6"/>
    <w:rsid w:val="68556DB7"/>
    <w:rsid w:val="68580655"/>
    <w:rsid w:val="685968A7"/>
    <w:rsid w:val="68596FE0"/>
    <w:rsid w:val="685A6D95"/>
    <w:rsid w:val="685C6397"/>
    <w:rsid w:val="685F3791"/>
    <w:rsid w:val="6861575B"/>
    <w:rsid w:val="68617509"/>
    <w:rsid w:val="686314D3"/>
    <w:rsid w:val="68633281"/>
    <w:rsid w:val="68647BCC"/>
    <w:rsid w:val="68686AEA"/>
    <w:rsid w:val="68692862"/>
    <w:rsid w:val="686C635E"/>
    <w:rsid w:val="68715A7D"/>
    <w:rsid w:val="68730A19"/>
    <w:rsid w:val="687436E1"/>
    <w:rsid w:val="68750B51"/>
    <w:rsid w:val="68757459"/>
    <w:rsid w:val="6877057E"/>
    <w:rsid w:val="687A4A6F"/>
    <w:rsid w:val="688073A5"/>
    <w:rsid w:val="68833924"/>
    <w:rsid w:val="688431F8"/>
    <w:rsid w:val="688651C2"/>
    <w:rsid w:val="688B27D8"/>
    <w:rsid w:val="688D6550"/>
    <w:rsid w:val="68907DEF"/>
    <w:rsid w:val="68915745"/>
    <w:rsid w:val="68921DB9"/>
    <w:rsid w:val="68930B04"/>
    <w:rsid w:val="689618A9"/>
    <w:rsid w:val="689A0C6D"/>
    <w:rsid w:val="689B44E8"/>
    <w:rsid w:val="689C529D"/>
    <w:rsid w:val="68A044D6"/>
    <w:rsid w:val="68A2273F"/>
    <w:rsid w:val="68A32F09"/>
    <w:rsid w:val="68A33FC6"/>
    <w:rsid w:val="68A35D74"/>
    <w:rsid w:val="68A51AEC"/>
    <w:rsid w:val="68A613C0"/>
    <w:rsid w:val="68A84561"/>
    <w:rsid w:val="68AA7102"/>
    <w:rsid w:val="68AD09A1"/>
    <w:rsid w:val="68AF64C7"/>
    <w:rsid w:val="68B008A5"/>
    <w:rsid w:val="68B05785"/>
    <w:rsid w:val="68B47F81"/>
    <w:rsid w:val="68B7181F"/>
    <w:rsid w:val="68B7537B"/>
    <w:rsid w:val="68B76D78"/>
    <w:rsid w:val="68B84965"/>
    <w:rsid w:val="68B94F59"/>
    <w:rsid w:val="68BB30BE"/>
    <w:rsid w:val="68BB700A"/>
    <w:rsid w:val="68BE2BAE"/>
    <w:rsid w:val="68BE495C"/>
    <w:rsid w:val="68C0194D"/>
    <w:rsid w:val="68C31F72"/>
    <w:rsid w:val="68C65D6E"/>
    <w:rsid w:val="68C73DDA"/>
    <w:rsid w:val="68C87588"/>
    <w:rsid w:val="68CA3301"/>
    <w:rsid w:val="68CA50AF"/>
    <w:rsid w:val="68CA77A4"/>
    <w:rsid w:val="68CF4DBB"/>
    <w:rsid w:val="68D0643D"/>
    <w:rsid w:val="68D1740F"/>
    <w:rsid w:val="68D45F2D"/>
    <w:rsid w:val="68DA5ADD"/>
    <w:rsid w:val="68DC1A4F"/>
    <w:rsid w:val="68DE6DAC"/>
    <w:rsid w:val="68E048D2"/>
    <w:rsid w:val="68E1064A"/>
    <w:rsid w:val="68E424F2"/>
    <w:rsid w:val="68E503E3"/>
    <w:rsid w:val="68EB3277"/>
    <w:rsid w:val="68EC0C84"/>
    <w:rsid w:val="68EC14C9"/>
    <w:rsid w:val="68ED4CE5"/>
    <w:rsid w:val="68ED6FEF"/>
    <w:rsid w:val="68F0088D"/>
    <w:rsid w:val="68F16ADF"/>
    <w:rsid w:val="68F24605"/>
    <w:rsid w:val="68F2680E"/>
    <w:rsid w:val="68F465CF"/>
    <w:rsid w:val="68F77E6E"/>
    <w:rsid w:val="68FB5BB0"/>
    <w:rsid w:val="68FC5484"/>
    <w:rsid w:val="69003E09"/>
    <w:rsid w:val="690A194F"/>
    <w:rsid w:val="690B56C7"/>
    <w:rsid w:val="690B6DDE"/>
    <w:rsid w:val="690F24D3"/>
    <w:rsid w:val="690F6F65"/>
    <w:rsid w:val="69107A14"/>
    <w:rsid w:val="69117181"/>
    <w:rsid w:val="69140A20"/>
    <w:rsid w:val="691D2341"/>
    <w:rsid w:val="691F6101"/>
    <w:rsid w:val="692073C4"/>
    <w:rsid w:val="69224EEB"/>
    <w:rsid w:val="69232A11"/>
    <w:rsid w:val="6924250F"/>
    <w:rsid w:val="692435FB"/>
    <w:rsid w:val="69271690"/>
    <w:rsid w:val="692A1FF1"/>
    <w:rsid w:val="692C7B17"/>
    <w:rsid w:val="692F13B6"/>
    <w:rsid w:val="69313380"/>
    <w:rsid w:val="69344C1E"/>
    <w:rsid w:val="69392234"/>
    <w:rsid w:val="693B7577"/>
    <w:rsid w:val="693C3AD3"/>
    <w:rsid w:val="693E784B"/>
    <w:rsid w:val="6942558D"/>
    <w:rsid w:val="694330B3"/>
    <w:rsid w:val="69477567"/>
    <w:rsid w:val="694959E5"/>
    <w:rsid w:val="694A61EF"/>
    <w:rsid w:val="694C0E55"/>
    <w:rsid w:val="694C1F68"/>
    <w:rsid w:val="694E2184"/>
    <w:rsid w:val="694E3F32"/>
    <w:rsid w:val="695232F6"/>
    <w:rsid w:val="69561384"/>
    <w:rsid w:val="69580D63"/>
    <w:rsid w:val="6959691A"/>
    <w:rsid w:val="695C079C"/>
    <w:rsid w:val="695D5F23"/>
    <w:rsid w:val="695E1C9B"/>
    <w:rsid w:val="696033A5"/>
    <w:rsid w:val="69603C65"/>
    <w:rsid w:val="696533DD"/>
    <w:rsid w:val="696973C3"/>
    <w:rsid w:val="696A0640"/>
    <w:rsid w:val="696E6382"/>
    <w:rsid w:val="696F027E"/>
    <w:rsid w:val="696F20FA"/>
    <w:rsid w:val="69727678"/>
    <w:rsid w:val="69733998"/>
    <w:rsid w:val="69765236"/>
    <w:rsid w:val="6976722C"/>
    <w:rsid w:val="697D4817"/>
    <w:rsid w:val="697D65C5"/>
    <w:rsid w:val="69821839"/>
    <w:rsid w:val="69872FA0"/>
    <w:rsid w:val="69877444"/>
    <w:rsid w:val="69894212"/>
    <w:rsid w:val="69894F6A"/>
    <w:rsid w:val="698C4A5A"/>
    <w:rsid w:val="698E432E"/>
    <w:rsid w:val="698E4AF7"/>
    <w:rsid w:val="69913E34"/>
    <w:rsid w:val="699742D5"/>
    <w:rsid w:val="699851AD"/>
    <w:rsid w:val="69990F25"/>
    <w:rsid w:val="699B6A4B"/>
    <w:rsid w:val="699B7AB7"/>
    <w:rsid w:val="699F653B"/>
    <w:rsid w:val="69A16F46"/>
    <w:rsid w:val="69A819FA"/>
    <w:rsid w:val="69B02460"/>
    <w:rsid w:val="69B450FC"/>
    <w:rsid w:val="69B53187"/>
    <w:rsid w:val="69B53FB1"/>
    <w:rsid w:val="69B8584F"/>
    <w:rsid w:val="69B95123"/>
    <w:rsid w:val="69BA3375"/>
    <w:rsid w:val="69C02956"/>
    <w:rsid w:val="69C117D2"/>
    <w:rsid w:val="69C42446"/>
    <w:rsid w:val="69C55233"/>
    <w:rsid w:val="69C71740"/>
    <w:rsid w:val="69C9180A"/>
    <w:rsid w:val="69C935B8"/>
    <w:rsid w:val="69C97A5C"/>
    <w:rsid w:val="69CA10DE"/>
    <w:rsid w:val="69CC4E56"/>
    <w:rsid w:val="69D00DEB"/>
    <w:rsid w:val="69D16911"/>
    <w:rsid w:val="69D32689"/>
    <w:rsid w:val="69D63F27"/>
    <w:rsid w:val="69D65CD5"/>
    <w:rsid w:val="69DA3A17"/>
    <w:rsid w:val="69DC08C3"/>
    <w:rsid w:val="69E55F18"/>
    <w:rsid w:val="69EB0D20"/>
    <w:rsid w:val="69EB1780"/>
    <w:rsid w:val="69EC72A7"/>
    <w:rsid w:val="69F30635"/>
    <w:rsid w:val="69F46C64"/>
    <w:rsid w:val="69F525FF"/>
    <w:rsid w:val="69F61ED3"/>
    <w:rsid w:val="69F820EF"/>
    <w:rsid w:val="69F97043"/>
    <w:rsid w:val="69FA7C16"/>
    <w:rsid w:val="69FB573C"/>
    <w:rsid w:val="69FC1BE0"/>
    <w:rsid w:val="69FD6E54"/>
    <w:rsid w:val="69FF3DA6"/>
    <w:rsid w:val="69FF787E"/>
    <w:rsid w:val="6A006EEF"/>
    <w:rsid w:val="6A042842"/>
    <w:rsid w:val="6A072332"/>
    <w:rsid w:val="6A072AB4"/>
    <w:rsid w:val="6A077C46"/>
    <w:rsid w:val="6A164324"/>
    <w:rsid w:val="6A1D1B56"/>
    <w:rsid w:val="6A246A40"/>
    <w:rsid w:val="6A2829D5"/>
    <w:rsid w:val="6A294057"/>
    <w:rsid w:val="6A2B4273"/>
    <w:rsid w:val="6A2B7DCF"/>
    <w:rsid w:val="6A2D34F8"/>
    <w:rsid w:val="6A301889"/>
    <w:rsid w:val="6A303637"/>
    <w:rsid w:val="6A3053E5"/>
    <w:rsid w:val="6A314603"/>
    <w:rsid w:val="6A3273AF"/>
    <w:rsid w:val="6A3461E5"/>
    <w:rsid w:val="6A350C4E"/>
    <w:rsid w:val="6A356EA0"/>
    <w:rsid w:val="6A366774"/>
    <w:rsid w:val="6A38073E"/>
    <w:rsid w:val="6A38108B"/>
    <w:rsid w:val="6A384D26"/>
    <w:rsid w:val="6A3D5D54"/>
    <w:rsid w:val="6A3F17D8"/>
    <w:rsid w:val="6A3F387A"/>
    <w:rsid w:val="6A4175F2"/>
    <w:rsid w:val="6A4415E9"/>
    <w:rsid w:val="6A441A93"/>
    <w:rsid w:val="6A445335"/>
    <w:rsid w:val="6A486316"/>
    <w:rsid w:val="6A486BD3"/>
    <w:rsid w:val="6A49294B"/>
    <w:rsid w:val="6A4D0118"/>
    <w:rsid w:val="6A4E3ABD"/>
    <w:rsid w:val="6A5639FE"/>
    <w:rsid w:val="6A576E16"/>
    <w:rsid w:val="6A5C61DA"/>
    <w:rsid w:val="6A5D1F52"/>
    <w:rsid w:val="6A5D6907"/>
    <w:rsid w:val="6A5D7FC0"/>
    <w:rsid w:val="6A611A43"/>
    <w:rsid w:val="6A623431"/>
    <w:rsid w:val="6A624D6D"/>
    <w:rsid w:val="6A6257BB"/>
    <w:rsid w:val="6A641533"/>
    <w:rsid w:val="6A662825"/>
    <w:rsid w:val="6A671FA1"/>
    <w:rsid w:val="6A6E5F0E"/>
    <w:rsid w:val="6A701C86"/>
    <w:rsid w:val="6A710606"/>
    <w:rsid w:val="6A75729C"/>
    <w:rsid w:val="6A772D03"/>
    <w:rsid w:val="6A772D37"/>
    <w:rsid w:val="6A794FDE"/>
    <w:rsid w:val="6A7A0D56"/>
    <w:rsid w:val="6A7D43A3"/>
    <w:rsid w:val="6A7E0847"/>
    <w:rsid w:val="6A7E25F5"/>
    <w:rsid w:val="6A7F636D"/>
    <w:rsid w:val="6A8B6AC0"/>
    <w:rsid w:val="6A8C667E"/>
    <w:rsid w:val="6A8D6CDC"/>
    <w:rsid w:val="6A8F2AA1"/>
    <w:rsid w:val="6A90057A"/>
    <w:rsid w:val="6A9040D6"/>
    <w:rsid w:val="6A922510"/>
    <w:rsid w:val="6A932B4B"/>
    <w:rsid w:val="6A9736B6"/>
    <w:rsid w:val="6A977597"/>
    <w:rsid w:val="6A99742E"/>
    <w:rsid w:val="6A9C2A7B"/>
    <w:rsid w:val="6A9E0AB3"/>
    <w:rsid w:val="6A9E4A45"/>
    <w:rsid w:val="6A9E67F3"/>
    <w:rsid w:val="6AA61B4B"/>
    <w:rsid w:val="6AA95198"/>
    <w:rsid w:val="6AAD2EDA"/>
    <w:rsid w:val="6AAD6304"/>
    <w:rsid w:val="6AAF3179"/>
    <w:rsid w:val="6AB204F0"/>
    <w:rsid w:val="6AB73D58"/>
    <w:rsid w:val="6ABA73A5"/>
    <w:rsid w:val="6ABC136F"/>
    <w:rsid w:val="6ABC311D"/>
    <w:rsid w:val="6ABE50E7"/>
    <w:rsid w:val="6AC124E1"/>
    <w:rsid w:val="6AC3133E"/>
    <w:rsid w:val="6AC638FF"/>
    <w:rsid w:val="6AC87D14"/>
    <w:rsid w:val="6ACB15B2"/>
    <w:rsid w:val="6ACB7AD0"/>
    <w:rsid w:val="6ACE4BFE"/>
    <w:rsid w:val="6ACF10A2"/>
    <w:rsid w:val="6ACF170E"/>
    <w:rsid w:val="6AD16513"/>
    <w:rsid w:val="6AD2037A"/>
    <w:rsid w:val="6AD55F8D"/>
    <w:rsid w:val="6AD62431"/>
    <w:rsid w:val="6AD93CCF"/>
    <w:rsid w:val="6ADC37BF"/>
    <w:rsid w:val="6ADC556D"/>
    <w:rsid w:val="6ADE3093"/>
    <w:rsid w:val="6AE306AA"/>
    <w:rsid w:val="6AE461D0"/>
    <w:rsid w:val="6AE508C6"/>
    <w:rsid w:val="6AE6019A"/>
    <w:rsid w:val="6AE61F48"/>
    <w:rsid w:val="6AE866A8"/>
    <w:rsid w:val="6AE93058"/>
    <w:rsid w:val="6AED32D6"/>
    <w:rsid w:val="6AF428B7"/>
    <w:rsid w:val="6AF619D0"/>
    <w:rsid w:val="6AF63CB2"/>
    <w:rsid w:val="6AF91789"/>
    <w:rsid w:val="6AF9611F"/>
    <w:rsid w:val="6AFB3C45"/>
    <w:rsid w:val="6AFC176B"/>
    <w:rsid w:val="6AFD409F"/>
    <w:rsid w:val="6AFE3DEE"/>
    <w:rsid w:val="6B00125C"/>
    <w:rsid w:val="6B0146A4"/>
    <w:rsid w:val="6B036F9E"/>
    <w:rsid w:val="6B051D29"/>
    <w:rsid w:val="6B0625EA"/>
    <w:rsid w:val="6B087F5F"/>
    <w:rsid w:val="6B0B19AE"/>
    <w:rsid w:val="6B0B7C00"/>
    <w:rsid w:val="6B0C5E52"/>
    <w:rsid w:val="6B0F149F"/>
    <w:rsid w:val="6B113469"/>
    <w:rsid w:val="6B122D3D"/>
    <w:rsid w:val="6B170353"/>
    <w:rsid w:val="6B1747F7"/>
    <w:rsid w:val="6B19056F"/>
    <w:rsid w:val="6B192137"/>
    <w:rsid w:val="6B1C1E0E"/>
    <w:rsid w:val="6B1E16E2"/>
    <w:rsid w:val="6B1E7934"/>
    <w:rsid w:val="6B2036AC"/>
    <w:rsid w:val="6B234F4A"/>
    <w:rsid w:val="6B264A3A"/>
    <w:rsid w:val="6B2667E8"/>
    <w:rsid w:val="6B2A452A"/>
    <w:rsid w:val="6B2C59DC"/>
    <w:rsid w:val="6B2F7D93"/>
    <w:rsid w:val="6B327A63"/>
    <w:rsid w:val="6B376C47"/>
    <w:rsid w:val="6B4057AD"/>
    <w:rsid w:val="6B43383E"/>
    <w:rsid w:val="6B460C38"/>
    <w:rsid w:val="6B480E55"/>
    <w:rsid w:val="6B4849B1"/>
    <w:rsid w:val="6B4A0729"/>
    <w:rsid w:val="6B4A24D7"/>
    <w:rsid w:val="6B4B7FE5"/>
    <w:rsid w:val="6B4C44A1"/>
    <w:rsid w:val="6B4E5802"/>
    <w:rsid w:val="6B4E646B"/>
    <w:rsid w:val="6B4F5D3F"/>
    <w:rsid w:val="6B574BF4"/>
    <w:rsid w:val="6B596F8E"/>
    <w:rsid w:val="6B5B46E4"/>
    <w:rsid w:val="6B5E2426"/>
    <w:rsid w:val="6B5E5F82"/>
    <w:rsid w:val="6B5F4324"/>
    <w:rsid w:val="6B601CFA"/>
    <w:rsid w:val="6B616B6D"/>
    <w:rsid w:val="6B625A72"/>
    <w:rsid w:val="6B666FFD"/>
    <w:rsid w:val="6B676306"/>
    <w:rsid w:val="6B67752D"/>
    <w:rsid w:val="6B686E01"/>
    <w:rsid w:val="6B6A4406"/>
    <w:rsid w:val="6B6D6E99"/>
    <w:rsid w:val="6B6D718E"/>
    <w:rsid w:val="6B7009C9"/>
    <w:rsid w:val="6B711AB5"/>
    <w:rsid w:val="6B711B7A"/>
    <w:rsid w:val="6B715CB5"/>
    <w:rsid w:val="6B7441D2"/>
    <w:rsid w:val="6B75499D"/>
    <w:rsid w:val="6B7834E8"/>
    <w:rsid w:val="6B792DBC"/>
    <w:rsid w:val="6B7E03D2"/>
    <w:rsid w:val="6B83149A"/>
    <w:rsid w:val="6B841E8D"/>
    <w:rsid w:val="6B851761"/>
    <w:rsid w:val="6B871757"/>
    <w:rsid w:val="6B8A3827"/>
    <w:rsid w:val="6B8A6D77"/>
    <w:rsid w:val="6B8C0D41"/>
    <w:rsid w:val="6B8D6867"/>
    <w:rsid w:val="6B8F438D"/>
    <w:rsid w:val="6B961BC0"/>
    <w:rsid w:val="6B985938"/>
    <w:rsid w:val="6B9876E6"/>
    <w:rsid w:val="6B9B0F84"/>
    <w:rsid w:val="6B9B2D32"/>
    <w:rsid w:val="6B9B5A12"/>
    <w:rsid w:val="6B9E2823"/>
    <w:rsid w:val="6BA2108B"/>
    <w:rsid w:val="6BA22313"/>
    <w:rsid w:val="6BA50055"/>
    <w:rsid w:val="6BA70860"/>
    <w:rsid w:val="6BA8544F"/>
    <w:rsid w:val="6BAE515B"/>
    <w:rsid w:val="6BAF2C82"/>
    <w:rsid w:val="6BAF40B2"/>
    <w:rsid w:val="6BB107A8"/>
    <w:rsid w:val="6BB32772"/>
    <w:rsid w:val="6BB436C5"/>
    <w:rsid w:val="6BB65DBE"/>
    <w:rsid w:val="6BB87D88"/>
    <w:rsid w:val="6BBE2717"/>
    <w:rsid w:val="6BBF2EC5"/>
    <w:rsid w:val="6BC009EB"/>
    <w:rsid w:val="6BC02799"/>
    <w:rsid w:val="6BC06C3D"/>
    <w:rsid w:val="6BC404DB"/>
    <w:rsid w:val="6BC6157A"/>
    <w:rsid w:val="6BC8556D"/>
    <w:rsid w:val="6BCA3618"/>
    <w:rsid w:val="6BCC55E2"/>
    <w:rsid w:val="6BCF0C2E"/>
    <w:rsid w:val="6BD050D2"/>
    <w:rsid w:val="6BD30E55"/>
    <w:rsid w:val="6BD36970"/>
    <w:rsid w:val="6BD43669"/>
    <w:rsid w:val="6BD46244"/>
    <w:rsid w:val="6BD61FBC"/>
    <w:rsid w:val="6BD821D8"/>
    <w:rsid w:val="6BDA3CCF"/>
    <w:rsid w:val="6BDB75D3"/>
    <w:rsid w:val="6BE0108D"/>
    <w:rsid w:val="6BE24E05"/>
    <w:rsid w:val="6BE446D9"/>
    <w:rsid w:val="6BE61923"/>
    <w:rsid w:val="6BE648F5"/>
    <w:rsid w:val="6BE8725E"/>
    <w:rsid w:val="6BE97F42"/>
    <w:rsid w:val="6BEB1F0C"/>
    <w:rsid w:val="6BED68D9"/>
    <w:rsid w:val="6BF608B1"/>
    <w:rsid w:val="6BF61909"/>
    <w:rsid w:val="6BFA3EFD"/>
    <w:rsid w:val="6BFD1C3F"/>
    <w:rsid w:val="6BFF1513"/>
    <w:rsid w:val="6BFF4103"/>
    <w:rsid w:val="6C007039"/>
    <w:rsid w:val="6C022DB1"/>
    <w:rsid w:val="6C046B2A"/>
    <w:rsid w:val="6C092392"/>
    <w:rsid w:val="6C0C1E82"/>
    <w:rsid w:val="6C0C3C30"/>
    <w:rsid w:val="6C0F54CE"/>
    <w:rsid w:val="6C1256EA"/>
    <w:rsid w:val="6C152647"/>
    <w:rsid w:val="6C156D2D"/>
    <w:rsid w:val="6C156F89"/>
    <w:rsid w:val="6C1825D5"/>
    <w:rsid w:val="6C184383"/>
    <w:rsid w:val="6C187585"/>
    <w:rsid w:val="6C1F2DC1"/>
    <w:rsid w:val="6C1F5711"/>
    <w:rsid w:val="6C21592D"/>
    <w:rsid w:val="6C255D33"/>
    <w:rsid w:val="6C256AA0"/>
    <w:rsid w:val="6C276CBC"/>
    <w:rsid w:val="6C296590"/>
    <w:rsid w:val="6C2F6077"/>
    <w:rsid w:val="6C315445"/>
    <w:rsid w:val="6C3311BD"/>
    <w:rsid w:val="6C3345BF"/>
    <w:rsid w:val="6C335661"/>
    <w:rsid w:val="6C3367E9"/>
    <w:rsid w:val="6C3513D9"/>
    <w:rsid w:val="6C375151"/>
    <w:rsid w:val="6C376EFF"/>
    <w:rsid w:val="6C382874"/>
    <w:rsid w:val="6C382C77"/>
    <w:rsid w:val="6C3D5490"/>
    <w:rsid w:val="6C417D7E"/>
    <w:rsid w:val="6C445178"/>
    <w:rsid w:val="6C44786E"/>
    <w:rsid w:val="6C47110C"/>
    <w:rsid w:val="6C4B0D0B"/>
    <w:rsid w:val="6C4B29AA"/>
    <w:rsid w:val="6C4D6722"/>
    <w:rsid w:val="6C5008E1"/>
    <w:rsid w:val="6C506213"/>
    <w:rsid w:val="6C5309A3"/>
    <w:rsid w:val="6C532FFB"/>
    <w:rsid w:val="6C5630FD"/>
    <w:rsid w:val="6C582842"/>
    <w:rsid w:val="6C586E75"/>
    <w:rsid w:val="6C5C6966"/>
    <w:rsid w:val="6C5E25FF"/>
    <w:rsid w:val="6C604695"/>
    <w:rsid w:val="6C643A6C"/>
    <w:rsid w:val="6C6475C8"/>
    <w:rsid w:val="6C6608D6"/>
    <w:rsid w:val="6C661592"/>
    <w:rsid w:val="6C67530A"/>
    <w:rsid w:val="6C684A1E"/>
    <w:rsid w:val="6C6E6699"/>
    <w:rsid w:val="6C705F6D"/>
    <w:rsid w:val="6C71678A"/>
    <w:rsid w:val="6C727F37"/>
    <w:rsid w:val="6C733CAF"/>
    <w:rsid w:val="6C7D068A"/>
    <w:rsid w:val="6C7D5484"/>
    <w:rsid w:val="6C7D68DC"/>
    <w:rsid w:val="6C7F4402"/>
    <w:rsid w:val="6C81461E"/>
    <w:rsid w:val="6C871509"/>
    <w:rsid w:val="6C89702F"/>
    <w:rsid w:val="6C8B724B"/>
    <w:rsid w:val="6C8B7FE0"/>
    <w:rsid w:val="6C8E0AE9"/>
    <w:rsid w:val="6C8E6D3B"/>
    <w:rsid w:val="6C944351"/>
    <w:rsid w:val="6C9852E5"/>
    <w:rsid w:val="6C992705"/>
    <w:rsid w:val="6C9C1458"/>
    <w:rsid w:val="6C9F14BC"/>
    <w:rsid w:val="6CA125CA"/>
    <w:rsid w:val="6CA34594"/>
    <w:rsid w:val="6CA64085"/>
    <w:rsid w:val="6CAB51F7"/>
    <w:rsid w:val="6CAF3ECE"/>
    <w:rsid w:val="6CB13256"/>
    <w:rsid w:val="6CB56076"/>
    <w:rsid w:val="6CB71DEE"/>
    <w:rsid w:val="6CB82531"/>
    <w:rsid w:val="6CB87914"/>
    <w:rsid w:val="6CBE670D"/>
    <w:rsid w:val="6CBF0CA2"/>
    <w:rsid w:val="6CBF6EF4"/>
    <w:rsid w:val="6CC10EBE"/>
    <w:rsid w:val="6CC12C6C"/>
    <w:rsid w:val="6CC14A1B"/>
    <w:rsid w:val="6CC3531E"/>
    <w:rsid w:val="6CC91B21"/>
    <w:rsid w:val="6CC938CF"/>
    <w:rsid w:val="6CCC3665"/>
    <w:rsid w:val="6CCD1611"/>
    <w:rsid w:val="6CD02EB0"/>
    <w:rsid w:val="6CD24E7A"/>
    <w:rsid w:val="6CD40BF2"/>
    <w:rsid w:val="6CD504C6"/>
    <w:rsid w:val="6CD56718"/>
    <w:rsid w:val="6CD7423E"/>
    <w:rsid w:val="6CD858AC"/>
    <w:rsid w:val="6CDB7401"/>
    <w:rsid w:val="6CDE737B"/>
    <w:rsid w:val="6CDF1345"/>
    <w:rsid w:val="6CE1330F"/>
    <w:rsid w:val="6CE30E35"/>
    <w:rsid w:val="6CE32BE3"/>
    <w:rsid w:val="6CE40787"/>
    <w:rsid w:val="6CE72933"/>
    <w:rsid w:val="6CE931BD"/>
    <w:rsid w:val="6CEA21C3"/>
    <w:rsid w:val="6CED5810"/>
    <w:rsid w:val="6CF22E26"/>
    <w:rsid w:val="6CF3094C"/>
    <w:rsid w:val="6CF66663"/>
    <w:rsid w:val="6CF941B4"/>
    <w:rsid w:val="6CFA7D7F"/>
    <w:rsid w:val="6CFC3CA5"/>
    <w:rsid w:val="6CFF5543"/>
    <w:rsid w:val="6D050DAB"/>
    <w:rsid w:val="6D062D75"/>
    <w:rsid w:val="6D064B23"/>
    <w:rsid w:val="6D0668D1"/>
    <w:rsid w:val="6D08089B"/>
    <w:rsid w:val="6D0843F7"/>
    <w:rsid w:val="6D090170"/>
    <w:rsid w:val="6D107530"/>
    <w:rsid w:val="6D133395"/>
    <w:rsid w:val="6D140FEE"/>
    <w:rsid w:val="6D14106D"/>
    <w:rsid w:val="6D147240"/>
    <w:rsid w:val="6D156B14"/>
    <w:rsid w:val="6D1C4347"/>
    <w:rsid w:val="6D1F1741"/>
    <w:rsid w:val="6D1F7993"/>
    <w:rsid w:val="6D21370B"/>
    <w:rsid w:val="6D2141CF"/>
    <w:rsid w:val="6D2154B9"/>
    <w:rsid w:val="6D286848"/>
    <w:rsid w:val="6D2C27DC"/>
    <w:rsid w:val="6D2F7BD6"/>
    <w:rsid w:val="6D30394E"/>
    <w:rsid w:val="6D317DF2"/>
    <w:rsid w:val="6D321474"/>
    <w:rsid w:val="6D342007"/>
    <w:rsid w:val="6D342FA5"/>
    <w:rsid w:val="6D365409"/>
    <w:rsid w:val="6D371181"/>
    <w:rsid w:val="6D3721A7"/>
    <w:rsid w:val="6D392803"/>
    <w:rsid w:val="6D3B47CD"/>
    <w:rsid w:val="6D401DE3"/>
    <w:rsid w:val="6D415B5B"/>
    <w:rsid w:val="6D45389E"/>
    <w:rsid w:val="6D4564C2"/>
    <w:rsid w:val="6D4573FA"/>
    <w:rsid w:val="6D463172"/>
    <w:rsid w:val="6D4672D9"/>
    <w:rsid w:val="6D4A0EB4"/>
    <w:rsid w:val="6D4A5320"/>
    <w:rsid w:val="6D4C5D1C"/>
    <w:rsid w:val="6D4D62AE"/>
    <w:rsid w:val="6D4F2026"/>
    <w:rsid w:val="6D513FF0"/>
    <w:rsid w:val="6D521B17"/>
    <w:rsid w:val="6D57537F"/>
    <w:rsid w:val="6D57712D"/>
    <w:rsid w:val="6D5835D1"/>
    <w:rsid w:val="6D591835"/>
    <w:rsid w:val="6D5C2995"/>
    <w:rsid w:val="6D5E1357"/>
    <w:rsid w:val="6D5E4882"/>
    <w:rsid w:val="6D632B13"/>
    <w:rsid w:val="6D66521C"/>
    <w:rsid w:val="6D671147"/>
    <w:rsid w:val="6D681259"/>
    <w:rsid w:val="6D6830E8"/>
    <w:rsid w:val="6D68758C"/>
    <w:rsid w:val="6D6A50B2"/>
    <w:rsid w:val="6D6D5B35"/>
    <w:rsid w:val="6D6D6950"/>
    <w:rsid w:val="6D6F33E7"/>
    <w:rsid w:val="6D6F76B8"/>
    <w:rsid w:val="6D714693"/>
    <w:rsid w:val="6D72405F"/>
    <w:rsid w:val="6D7952F5"/>
    <w:rsid w:val="6D7B106D"/>
    <w:rsid w:val="6D7B72BF"/>
    <w:rsid w:val="6D7C6B93"/>
    <w:rsid w:val="6D7D3037"/>
    <w:rsid w:val="6D7D4DE5"/>
    <w:rsid w:val="6D82064E"/>
    <w:rsid w:val="6D857B13"/>
    <w:rsid w:val="6D87733D"/>
    <w:rsid w:val="6D89482E"/>
    <w:rsid w:val="6D896511"/>
    <w:rsid w:val="6D8B6DD7"/>
    <w:rsid w:val="6D8D7A35"/>
    <w:rsid w:val="6D8E6FF3"/>
    <w:rsid w:val="6D8F4B19"/>
    <w:rsid w:val="6D8F68C7"/>
    <w:rsid w:val="6D920165"/>
    <w:rsid w:val="6D934609"/>
    <w:rsid w:val="6D9411D8"/>
    <w:rsid w:val="6D967C55"/>
    <w:rsid w:val="6D9739CD"/>
    <w:rsid w:val="6D9B04B1"/>
    <w:rsid w:val="6D9B34BE"/>
    <w:rsid w:val="6D9C0FE4"/>
    <w:rsid w:val="6DA36865"/>
    <w:rsid w:val="6DA560EA"/>
    <w:rsid w:val="6DAA1953"/>
    <w:rsid w:val="6DAA3A37"/>
    <w:rsid w:val="6DAA54AF"/>
    <w:rsid w:val="6DAC1227"/>
    <w:rsid w:val="6DAD31F1"/>
    <w:rsid w:val="6DAE1443"/>
    <w:rsid w:val="6DAF0D17"/>
    <w:rsid w:val="6DAF6549"/>
    <w:rsid w:val="6DB225B5"/>
    <w:rsid w:val="6DB63E53"/>
    <w:rsid w:val="6DB77BCC"/>
    <w:rsid w:val="6DB93944"/>
    <w:rsid w:val="6DBB3B60"/>
    <w:rsid w:val="6DBD1347"/>
    <w:rsid w:val="6DBE0F5A"/>
    <w:rsid w:val="6DBE71AC"/>
    <w:rsid w:val="6DC01176"/>
    <w:rsid w:val="6DC074CE"/>
    <w:rsid w:val="6DC51E05"/>
    <w:rsid w:val="6DCD6F00"/>
    <w:rsid w:val="6DCE2F61"/>
    <w:rsid w:val="6DCF3167"/>
    <w:rsid w:val="6DD07BB4"/>
    <w:rsid w:val="6DD24A05"/>
    <w:rsid w:val="6DD467A6"/>
    <w:rsid w:val="6DD469CF"/>
    <w:rsid w:val="6DD8026E"/>
    <w:rsid w:val="6DD93FE6"/>
    <w:rsid w:val="6DDB1B0C"/>
    <w:rsid w:val="6DDB40D5"/>
    <w:rsid w:val="6DE10FA7"/>
    <w:rsid w:val="6DE309C1"/>
    <w:rsid w:val="6DE32D5F"/>
    <w:rsid w:val="6DE76703"/>
    <w:rsid w:val="6DE85FD7"/>
    <w:rsid w:val="6DEC1F6B"/>
    <w:rsid w:val="6DEE183F"/>
    <w:rsid w:val="6DF10DB9"/>
    <w:rsid w:val="6DF130DE"/>
    <w:rsid w:val="6DF350A8"/>
    <w:rsid w:val="6DF606F4"/>
    <w:rsid w:val="6DFB0400"/>
    <w:rsid w:val="6DFB21AE"/>
    <w:rsid w:val="6DFD1A82"/>
    <w:rsid w:val="6E001573"/>
    <w:rsid w:val="6E005A16"/>
    <w:rsid w:val="6E041063"/>
    <w:rsid w:val="6E056B89"/>
    <w:rsid w:val="6E070B53"/>
    <w:rsid w:val="6E0F17B6"/>
    <w:rsid w:val="6E105C5A"/>
    <w:rsid w:val="6E11552E"/>
    <w:rsid w:val="6E140BA5"/>
    <w:rsid w:val="6E14501E"/>
    <w:rsid w:val="6E182D60"/>
    <w:rsid w:val="6E1868BC"/>
    <w:rsid w:val="6E1A0886"/>
    <w:rsid w:val="6E1B015A"/>
    <w:rsid w:val="6E1B63AC"/>
    <w:rsid w:val="6E1D3ED3"/>
    <w:rsid w:val="6E2214E9"/>
    <w:rsid w:val="6E2216B8"/>
    <w:rsid w:val="6E241705"/>
    <w:rsid w:val="6E26547D"/>
    <w:rsid w:val="6E290AC9"/>
    <w:rsid w:val="6E296D1B"/>
    <w:rsid w:val="6E2A7591"/>
    <w:rsid w:val="6E2C2361"/>
    <w:rsid w:val="6E2E60E0"/>
    <w:rsid w:val="6E3007D7"/>
    <w:rsid w:val="6E330C7F"/>
    <w:rsid w:val="6E396833"/>
    <w:rsid w:val="6E3B07FD"/>
    <w:rsid w:val="6E3B25AB"/>
    <w:rsid w:val="6E3F209B"/>
    <w:rsid w:val="6E405E13"/>
    <w:rsid w:val="6E414065"/>
    <w:rsid w:val="6E4476B1"/>
    <w:rsid w:val="6E46167B"/>
    <w:rsid w:val="6E4678CD"/>
    <w:rsid w:val="6E492F1A"/>
    <w:rsid w:val="6E4F523E"/>
    <w:rsid w:val="6E5042A8"/>
    <w:rsid w:val="6E533D98"/>
    <w:rsid w:val="6E5518BE"/>
    <w:rsid w:val="6E5729A2"/>
    <w:rsid w:val="6E5813AF"/>
    <w:rsid w:val="6E583A1F"/>
    <w:rsid w:val="6E587601"/>
    <w:rsid w:val="6E5F098F"/>
    <w:rsid w:val="6E622983"/>
    <w:rsid w:val="6E647D53"/>
    <w:rsid w:val="6E661D1D"/>
    <w:rsid w:val="6E663ACB"/>
    <w:rsid w:val="6E6733A0"/>
    <w:rsid w:val="6E6E2980"/>
    <w:rsid w:val="6E761835"/>
    <w:rsid w:val="6E774F79"/>
    <w:rsid w:val="6E7837FF"/>
    <w:rsid w:val="6E7855AD"/>
    <w:rsid w:val="6E7A1325"/>
    <w:rsid w:val="6E7F27D6"/>
    <w:rsid w:val="6E7F693B"/>
    <w:rsid w:val="6E8757F0"/>
    <w:rsid w:val="6E8977BA"/>
    <w:rsid w:val="6E8B1784"/>
    <w:rsid w:val="6E8B52E0"/>
    <w:rsid w:val="6E9272C6"/>
    <w:rsid w:val="6E9323E7"/>
    <w:rsid w:val="6E97293C"/>
    <w:rsid w:val="6E9C573F"/>
    <w:rsid w:val="6EA14B04"/>
    <w:rsid w:val="6EA6036C"/>
    <w:rsid w:val="6EA63EC8"/>
    <w:rsid w:val="6EA91C0A"/>
    <w:rsid w:val="6EA97E5C"/>
    <w:rsid w:val="6EAA495D"/>
    <w:rsid w:val="6EAB742B"/>
    <w:rsid w:val="6EAE1C55"/>
    <w:rsid w:val="6EAF1E99"/>
    <w:rsid w:val="6EB02F99"/>
    <w:rsid w:val="6EB04C24"/>
    <w:rsid w:val="6EB04D47"/>
    <w:rsid w:val="6EB0558D"/>
    <w:rsid w:val="6EB32A89"/>
    <w:rsid w:val="6EB57B5D"/>
    <w:rsid w:val="6EB760D5"/>
    <w:rsid w:val="6EC46A44"/>
    <w:rsid w:val="6EC6113E"/>
    <w:rsid w:val="6EC84857"/>
    <w:rsid w:val="6EC97476"/>
    <w:rsid w:val="6ECC0AC8"/>
    <w:rsid w:val="6ECE341F"/>
    <w:rsid w:val="6ECF5422"/>
    <w:rsid w:val="6ED22F0F"/>
    <w:rsid w:val="6ED547AD"/>
    <w:rsid w:val="6ED76ECE"/>
    <w:rsid w:val="6ED8429D"/>
    <w:rsid w:val="6ED924EF"/>
    <w:rsid w:val="6EDF562C"/>
    <w:rsid w:val="6EE36ECA"/>
    <w:rsid w:val="6EE82732"/>
    <w:rsid w:val="6EEB2223"/>
    <w:rsid w:val="6EED3736"/>
    <w:rsid w:val="6EEE586F"/>
    <w:rsid w:val="6EEF1D13"/>
    <w:rsid w:val="6EF015E7"/>
    <w:rsid w:val="6EF410D7"/>
    <w:rsid w:val="6EF47329"/>
    <w:rsid w:val="6EF54E4F"/>
    <w:rsid w:val="6EF74724"/>
    <w:rsid w:val="6EF75C78"/>
    <w:rsid w:val="6EF92252"/>
    <w:rsid w:val="6EF966EE"/>
    <w:rsid w:val="6EFB6CFF"/>
    <w:rsid w:val="6EFC1D3A"/>
    <w:rsid w:val="6EFF1080"/>
    <w:rsid w:val="6F01172F"/>
    <w:rsid w:val="6F0155A2"/>
    <w:rsid w:val="6F0160FC"/>
    <w:rsid w:val="6F0230C8"/>
    <w:rsid w:val="6F03131A"/>
    <w:rsid w:val="6F03756C"/>
    <w:rsid w:val="6F084B83"/>
    <w:rsid w:val="6F086931"/>
    <w:rsid w:val="6F0D03EB"/>
    <w:rsid w:val="6F0E6BF2"/>
    <w:rsid w:val="6F0F5F11"/>
    <w:rsid w:val="6F152DFC"/>
    <w:rsid w:val="6F170E2C"/>
    <w:rsid w:val="6F196D90"/>
    <w:rsid w:val="6F197B82"/>
    <w:rsid w:val="6F1A48B6"/>
    <w:rsid w:val="6F1A6664"/>
    <w:rsid w:val="6F1C670B"/>
    <w:rsid w:val="6F213326"/>
    <w:rsid w:val="6F2614AD"/>
    <w:rsid w:val="6F2C5FDF"/>
    <w:rsid w:val="6F2F6FED"/>
    <w:rsid w:val="6F3239AE"/>
    <w:rsid w:val="6F327E52"/>
    <w:rsid w:val="6F355CC6"/>
    <w:rsid w:val="6F370FC4"/>
    <w:rsid w:val="6F3911E0"/>
    <w:rsid w:val="6F394D3C"/>
    <w:rsid w:val="6F3A22A7"/>
    <w:rsid w:val="6F3C2A7E"/>
    <w:rsid w:val="6F3C482C"/>
    <w:rsid w:val="6F3E05A4"/>
    <w:rsid w:val="6F4162E7"/>
    <w:rsid w:val="6F4436E1"/>
    <w:rsid w:val="6F451933"/>
    <w:rsid w:val="6F45287E"/>
    <w:rsid w:val="6F467459"/>
    <w:rsid w:val="6F4B4A6F"/>
    <w:rsid w:val="6F4C7EB2"/>
    <w:rsid w:val="6F4D07E7"/>
    <w:rsid w:val="6F4D6A39"/>
    <w:rsid w:val="6F4F4560"/>
    <w:rsid w:val="6F502086"/>
    <w:rsid w:val="6F571666"/>
    <w:rsid w:val="6F5726F4"/>
    <w:rsid w:val="6F5953DE"/>
    <w:rsid w:val="6F5C6C7D"/>
    <w:rsid w:val="6F5E29F5"/>
    <w:rsid w:val="6F5E47A3"/>
    <w:rsid w:val="6F5F1413"/>
    <w:rsid w:val="6F5F5F21"/>
    <w:rsid w:val="6F600666"/>
    <w:rsid w:val="6F6049BF"/>
    <w:rsid w:val="6F60676D"/>
    <w:rsid w:val="6F6552CF"/>
    <w:rsid w:val="6F655B31"/>
    <w:rsid w:val="6F6618A9"/>
    <w:rsid w:val="6F667AFB"/>
    <w:rsid w:val="6F68200A"/>
    <w:rsid w:val="6F6B1FFA"/>
    <w:rsid w:val="6F6D49E6"/>
    <w:rsid w:val="6F6D70DC"/>
    <w:rsid w:val="6F71097A"/>
    <w:rsid w:val="6F725C8E"/>
    <w:rsid w:val="6F745D74"/>
    <w:rsid w:val="6F7B35A7"/>
    <w:rsid w:val="6F7F4719"/>
    <w:rsid w:val="6F8001BF"/>
    <w:rsid w:val="6F813148"/>
    <w:rsid w:val="6F814935"/>
    <w:rsid w:val="6F821E17"/>
    <w:rsid w:val="6F8561D3"/>
    <w:rsid w:val="6F857F81"/>
    <w:rsid w:val="6F865AA7"/>
    <w:rsid w:val="6F881522"/>
    <w:rsid w:val="6F8940F3"/>
    <w:rsid w:val="6F8A37EA"/>
    <w:rsid w:val="6F8A5598"/>
    <w:rsid w:val="6F9666F7"/>
    <w:rsid w:val="6F977CB5"/>
    <w:rsid w:val="6F984159"/>
    <w:rsid w:val="6F9957DB"/>
    <w:rsid w:val="6F9C54FA"/>
    <w:rsid w:val="6FA128E1"/>
    <w:rsid w:val="6FA32AFD"/>
    <w:rsid w:val="6FA50623"/>
    <w:rsid w:val="6FAC19B2"/>
    <w:rsid w:val="6FAC7C04"/>
    <w:rsid w:val="6FAD1286"/>
    <w:rsid w:val="6FAE6A26"/>
    <w:rsid w:val="6FB6638D"/>
    <w:rsid w:val="6FB72105"/>
    <w:rsid w:val="6FB92EDC"/>
    <w:rsid w:val="6FB95E7D"/>
    <w:rsid w:val="6FB97C2B"/>
    <w:rsid w:val="6FBB39A3"/>
    <w:rsid w:val="6FBE7937"/>
    <w:rsid w:val="6FC34F4E"/>
    <w:rsid w:val="6FC50CC6"/>
    <w:rsid w:val="6FC62348"/>
    <w:rsid w:val="6FCD36D6"/>
    <w:rsid w:val="6FCE7B7A"/>
    <w:rsid w:val="6FD1766A"/>
    <w:rsid w:val="6FE078AE"/>
    <w:rsid w:val="6FE32EFA"/>
    <w:rsid w:val="6FE70C3C"/>
    <w:rsid w:val="6FE93893"/>
    <w:rsid w:val="6FF15617"/>
    <w:rsid w:val="6FF3138F"/>
    <w:rsid w:val="6FF45107"/>
    <w:rsid w:val="6FF869A5"/>
    <w:rsid w:val="6FFA1CBF"/>
    <w:rsid w:val="6FFD045F"/>
    <w:rsid w:val="7000585A"/>
    <w:rsid w:val="70074E3A"/>
    <w:rsid w:val="700C06A3"/>
    <w:rsid w:val="700C41FF"/>
    <w:rsid w:val="700F0193"/>
    <w:rsid w:val="700F1F41"/>
    <w:rsid w:val="70130316"/>
    <w:rsid w:val="701423EB"/>
    <w:rsid w:val="701A12E5"/>
    <w:rsid w:val="701B6B38"/>
    <w:rsid w:val="701D28B0"/>
    <w:rsid w:val="701F03D6"/>
    <w:rsid w:val="7020098E"/>
    <w:rsid w:val="702552C0"/>
    <w:rsid w:val="70291255"/>
    <w:rsid w:val="702A6D7B"/>
    <w:rsid w:val="702E0619"/>
    <w:rsid w:val="702F4A95"/>
    <w:rsid w:val="703025E3"/>
    <w:rsid w:val="70312AF6"/>
    <w:rsid w:val="70343755"/>
    <w:rsid w:val="70381498"/>
    <w:rsid w:val="70386C15"/>
    <w:rsid w:val="703B4AE4"/>
    <w:rsid w:val="704020FA"/>
    <w:rsid w:val="70441BEA"/>
    <w:rsid w:val="70467B14"/>
    <w:rsid w:val="704B11CB"/>
    <w:rsid w:val="704C6CF1"/>
    <w:rsid w:val="704E4817"/>
    <w:rsid w:val="705160B5"/>
    <w:rsid w:val="70531535"/>
    <w:rsid w:val="705362D1"/>
    <w:rsid w:val="70545BA6"/>
    <w:rsid w:val="7055244F"/>
    <w:rsid w:val="705A140E"/>
    <w:rsid w:val="705B0CE2"/>
    <w:rsid w:val="705B5186"/>
    <w:rsid w:val="705D4A5A"/>
    <w:rsid w:val="705F07D2"/>
    <w:rsid w:val="70600848"/>
    <w:rsid w:val="706109EE"/>
    <w:rsid w:val="70625045"/>
    <w:rsid w:val="706978A3"/>
    <w:rsid w:val="706A7177"/>
    <w:rsid w:val="706F478E"/>
    <w:rsid w:val="70716758"/>
    <w:rsid w:val="707324D0"/>
    <w:rsid w:val="70756248"/>
    <w:rsid w:val="70763D6E"/>
    <w:rsid w:val="707A385E"/>
    <w:rsid w:val="707B75D6"/>
    <w:rsid w:val="707F70C6"/>
    <w:rsid w:val="708244C1"/>
    <w:rsid w:val="70845005"/>
    <w:rsid w:val="70853FB1"/>
    <w:rsid w:val="70857DED"/>
    <w:rsid w:val="70875F7B"/>
    <w:rsid w:val="708C17E3"/>
    <w:rsid w:val="708C533F"/>
    <w:rsid w:val="708E2E66"/>
    <w:rsid w:val="708E730A"/>
    <w:rsid w:val="70910BA8"/>
    <w:rsid w:val="70926DFA"/>
    <w:rsid w:val="70934920"/>
    <w:rsid w:val="70952446"/>
    <w:rsid w:val="709A7A5C"/>
    <w:rsid w:val="709B37D5"/>
    <w:rsid w:val="709D12FB"/>
    <w:rsid w:val="709D754D"/>
    <w:rsid w:val="70A00DEB"/>
    <w:rsid w:val="70A1528F"/>
    <w:rsid w:val="70A32137"/>
    <w:rsid w:val="70A408DB"/>
    <w:rsid w:val="70A66401"/>
    <w:rsid w:val="70AC59E2"/>
    <w:rsid w:val="70AD3C34"/>
    <w:rsid w:val="70AE175A"/>
    <w:rsid w:val="70AE52B6"/>
    <w:rsid w:val="70B329FD"/>
    <w:rsid w:val="70B54896"/>
    <w:rsid w:val="70B56644"/>
    <w:rsid w:val="70BA3C5B"/>
    <w:rsid w:val="70BB79D3"/>
    <w:rsid w:val="70BF0D6E"/>
    <w:rsid w:val="70BF48E7"/>
    <w:rsid w:val="70C1323B"/>
    <w:rsid w:val="70C60851"/>
    <w:rsid w:val="70C66AA3"/>
    <w:rsid w:val="70C8281B"/>
    <w:rsid w:val="70C920F0"/>
    <w:rsid w:val="70C96594"/>
    <w:rsid w:val="70CD22D0"/>
    <w:rsid w:val="70CD7E32"/>
    <w:rsid w:val="70CE3BAA"/>
    <w:rsid w:val="70D311C0"/>
    <w:rsid w:val="70D32F6E"/>
    <w:rsid w:val="70D34D1C"/>
    <w:rsid w:val="70D50A94"/>
    <w:rsid w:val="70D56CE6"/>
    <w:rsid w:val="70D72A5F"/>
    <w:rsid w:val="70DA254F"/>
    <w:rsid w:val="70DD5B9B"/>
    <w:rsid w:val="70DF1913"/>
    <w:rsid w:val="70DF7B65"/>
    <w:rsid w:val="70E01DD1"/>
    <w:rsid w:val="70E17439"/>
    <w:rsid w:val="70E25AC9"/>
    <w:rsid w:val="70E909E4"/>
    <w:rsid w:val="70EB02B8"/>
    <w:rsid w:val="70EB650A"/>
    <w:rsid w:val="70F161E5"/>
    <w:rsid w:val="70F57389"/>
    <w:rsid w:val="70F73101"/>
    <w:rsid w:val="70F7553D"/>
    <w:rsid w:val="70F96E79"/>
    <w:rsid w:val="70FA674D"/>
    <w:rsid w:val="70FB3C67"/>
    <w:rsid w:val="70FC4273"/>
    <w:rsid w:val="71033AE0"/>
    <w:rsid w:val="710475CC"/>
    <w:rsid w:val="71080E6A"/>
    <w:rsid w:val="710B2708"/>
    <w:rsid w:val="710C022E"/>
    <w:rsid w:val="710F044A"/>
    <w:rsid w:val="71123A97"/>
    <w:rsid w:val="71146B51"/>
    <w:rsid w:val="71147230"/>
    <w:rsid w:val="7115142F"/>
    <w:rsid w:val="711517D9"/>
    <w:rsid w:val="71161C74"/>
    <w:rsid w:val="71184E25"/>
    <w:rsid w:val="711F4406"/>
    <w:rsid w:val="7121017E"/>
    <w:rsid w:val="71223DAF"/>
    <w:rsid w:val="71241A1C"/>
    <w:rsid w:val="71257C6E"/>
    <w:rsid w:val="71285068"/>
    <w:rsid w:val="71297032"/>
    <w:rsid w:val="712D08D1"/>
    <w:rsid w:val="712F289B"/>
    <w:rsid w:val="713003C1"/>
    <w:rsid w:val="713524B5"/>
    <w:rsid w:val="71353C29"/>
    <w:rsid w:val="713559D7"/>
    <w:rsid w:val="713954C7"/>
    <w:rsid w:val="713E2ADE"/>
    <w:rsid w:val="713E7CD2"/>
    <w:rsid w:val="7140060A"/>
    <w:rsid w:val="71417579"/>
    <w:rsid w:val="71452E3A"/>
    <w:rsid w:val="71453E6C"/>
    <w:rsid w:val="71463740"/>
    <w:rsid w:val="714B0D57"/>
    <w:rsid w:val="714B51FB"/>
    <w:rsid w:val="714D4ACF"/>
    <w:rsid w:val="714F4CEB"/>
    <w:rsid w:val="71542301"/>
    <w:rsid w:val="71557E27"/>
    <w:rsid w:val="71570879"/>
    <w:rsid w:val="715776FB"/>
    <w:rsid w:val="71597165"/>
    <w:rsid w:val="715C7408"/>
    <w:rsid w:val="715C78FB"/>
    <w:rsid w:val="715E4185"/>
    <w:rsid w:val="715F2A54"/>
    <w:rsid w:val="715F4802"/>
    <w:rsid w:val="716342F2"/>
    <w:rsid w:val="716562BC"/>
    <w:rsid w:val="71665B90"/>
    <w:rsid w:val="71685DAD"/>
    <w:rsid w:val="7169182D"/>
    <w:rsid w:val="7169742F"/>
    <w:rsid w:val="716D5171"/>
    <w:rsid w:val="716D6F1F"/>
    <w:rsid w:val="71706A0F"/>
    <w:rsid w:val="71722787"/>
    <w:rsid w:val="717256AD"/>
    <w:rsid w:val="71736E55"/>
    <w:rsid w:val="717464FF"/>
    <w:rsid w:val="71752058"/>
    <w:rsid w:val="71777D9E"/>
    <w:rsid w:val="717877CD"/>
    <w:rsid w:val="717B5AE0"/>
    <w:rsid w:val="717C3606"/>
    <w:rsid w:val="717C53B4"/>
    <w:rsid w:val="717D6528"/>
    <w:rsid w:val="717F6C52"/>
    <w:rsid w:val="71842CC2"/>
    <w:rsid w:val="71844269"/>
    <w:rsid w:val="718544F1"/>
    <w:rsid w:val="718A7AD1"/>
    <w:rsid w:val="718B55F7"/>
    <w:rsid w:val="718C1A9B"/>
    <w:rsid w:val="718D136F"/>
    <w:rsid w:val="718D5813"/>
    <w:rsid w:val="718F158B"/>
    <w:rsid w:val="718F3339"/>
    <w:rsid w:val="718F6E95"/>
    <w:rsid w:val="71900E5F"/>
    <w:rsid w:val="71902C0D"/>
    <w:rsid w:val="71970440"/>
    <w:rsid w:val="7197472D"/>
    <w:rsid w:val="71976406"/>
    <w:rsid w:val="719808DD"/>
    <w:rsid w:val="71991D6D"/>
    <w:rsid w:val="719B1CDE"/>
    <w:rsid w:val="719B78A1"/>
    <w:rsid w:val="71A41A51"/>
    <w:rsid w:val="71A573C9"/>
    <w:rsid w:val="71A861A9"/>
    <w:rsid w:val="71B0505E"/>
    <w:rsid w:val="71B07D16"/>
    <w:rsid w:val="71B07FF4"/>
    <w:rsid w:val="71B20DD6"/>
    <w:rsid w:val="71B42DA0"/>
    <w:rsid w:val="71B7463E"/>
    <w:rsid w:val="71BB412E"/>
    <w:rsid w:val="71BB5EDC"/>
    <w:rsid w:val="71BC6597"/>
    <w:rsid w:val="71BC7EA6"/>
    <w:rsid w:val="71CA4371"/>
    <w:rsid w:val="71CB1E97"/>
    <w:rsid w:val="71CC633B"/>
    <w:rsid w:val="71CD7D2C"/>
    <w:rsid w:val="71CF7BDA"/>
    <w:rsid w:val="71D0732A"/>
    <w:rsid w:val="71D23226"/>
    <w:rsid w:val="71DB657E"/>
    <w:rsid w:val="71DC5E53"/>
    <w:rsid w:val="71DE2066"/>
    <w:rsid w:val="71DE2427"/>
    <w:rsid w:val="71DE29E8"/>
    <w:rsid w:val="71DF72FF"/>
    <w:rsid w:val="71E03B95"/>
    <w:rsid w:val="71E05943"/>
    <w:rsid w:val="71E116BB"/>
    <w:rsid w:val="71E74F23"/>
    <w:rsid w:val="71E95523"/>
    <w:rsid w:val="71EA4A14"/>
    <w:rsid w:val="71EA6A44"/>
    <w:rsid w:val="71ED62B2"/>
    <w:rsid w:val="71EF3DD8"/>
    <w:rsid w:val="71F65166"/>
    <w:rsid w:val="71F66F14"/>
    <w:rsid w:val="71F80EDE"/>
    <w:rsid w:val="71F907B3"/>
    <w:rsid w:val="71FB452B"/>
    <w:rsid w:val="71FD71D2"/>
    <w:rsid w:val="71FE04BF"/>
    <w:rsid w:val="72032362"/>
    <w:rsid w:val="72037883"/>
    <w:rsid w:val="72062ED0"/>
    <w:rsid w:val="720A152D"/>
    <w:rsid w:val="720B79E9"/>
    <w:rsid w:val="720D24B0"/>
    <w:rsid w:val="720F25EE"/>
    <w:rsid w:val="721101F2"/>
    <w:rsid w:val="72127391"/>
    <w:rsid w:val="72127AC6"/>
    <w:rsid w:val="72135D18"/>
    <w:rsid w:val="721455EC"/>
    <w:rsid w:val="72165809"/>
    <w:rsid w:val="72190B9D"/>
    <w:rsid w:val="721970A7"/>
    <w:rsid w:val="721B697B"/>
    <w:rsid w:val="721D6B97"/>
    <w:rsid w:val="721E646B"/>
    <w:rsid w:val="721F1D01"/>
    <w:rsid w:val="721F5E98"/>
    <w:rsid w:val="72225F5B"/>
    <w:rsid w:val="7222649A"/>
    <w:rsid w:val="72227D09"/>
    <w:rsid w:val="722515A8"/>
    <w:rsid w:val="72255A4C"/>
    <w:rsid w:val="722872EA"/>
    <w:rsid w:val="722A3FD9"/>
    <w:rsid w:val="722E4900"/>
    <w:rsid w:val="72323CC5"/>
    <w:rsid w:val="72331F17"/>
    <w:rsid w:val="72347A3D"/>
    <w:rsid w:val="7238577F"/>
    <w:rsid w:val="723B3C37"/>
    <w:rsid w:val="723D4B43"/>
    <w:rsid w:val="723F6B0D"/>
    <w:rsid w:val="724539F8"/>
    <w:rsid w:val="72461F6E"/>
    <w:rsid w:val="724B6A51"/>
    <w:rsid w:val="724D14BA"/>
    <w:rsid w:val="724F4877"/>
    <w:rsid w:val="72511297"/>
    <w:rsid w:val="72516841"/>
    <w:rsid w:val="725325B9"/>
    <w:rsid w:val="72536115"/>
    <w:rsid w:val="725400DF"/>
    <w:rsid w:val="72541E8D"/>
    <w:rsid w:val="725620A9"/>
    <w:rsid w:val="72587BCF"/>
    <w:rsid w:val="725C04A6"/>
    <w:rsid w:val="725D6F93"/>
    <w:rsid w:val="72600832"/>
    <w:rsid w:val="72602A6B"/>
    <w:rsid w:val="72646574"/>
    <w:rsid w:val="726522EC"/>
    <w:rsid w:val="72655E48"/>
    <w:rsid w:val="726C71D7"/>
    <w:rsid w:val="72712A3F"/>
    <w:rsid w:val="727352F0"/>
    <w:rsid w:val="727442DD"/>
    <w:rsid w:val="72750781"/>
    <w:rsid w:val="72785B7B"/>
    <w:rsid w:val="727A7B45"/>
    <w:rsid w:val="727D13E4"/>
    <w:rsid w:val="727D38B6"/>
    <w:rsid w:val="727D7636"/>
    <w:rsid w:val="72802C82"/>
    <w:rsid w:val="72842772"/>
    <w:rsid w:val="72897D89"/>
    <w:rsid w:val="728C7879"/>
    <w:rsid w:val="729329B5"/>
    <w:rsid w:val="7294672D"/>
    <w:rsid w:val="7295497F"/>
    <w:rsid w:val="729B7ABC"/>
    <w:rsid w:val="729D3834"/>
    <w:rsid w:val="729E30C9"/>
    <w:rsid w:val="729F57FE"/>
    <w:rsid w:val="72A050D2"/>
    <w:rsid w:val="72A526E9"/>
    <w:rsid w:val="72A80866"/>
    <w:rsid w:val="72AB41A3"/>
    <w:rsid w:val="72AB5F51"/>
    <w:rsid w:val="72AC1CC9"/>
    <w:rsid w:val="72AD3BCA"/>
    <w:rsid w:val="72B22A09"/>
    <w:rsid w:val="72B56DCF"/>
    <w:rsid w:val="72B648F6"/>
    <w:rsid w:val="72B868C0"/>
    <w:rsid w:val="72BB3CBA"/>
    <w:rsid w:val="72BB474E"/>
    <w:rsid w:val="72BF19FC"/>
    <w:rsid w:val="72BF7C4E"/>
    <w:rsid w:val="72C214EC"/>
    <w:rsid w:val="72C2773E"/>
    <w:rsid w:val="72C45265"/>
    <w:rsid w:val="72C708B1"/>
    <w:rsid w:val="72CA214F"/>
    <w:rsid w:val="72CC4119"/>
    <w:rsid w:val="72CE7E91"/>
    <w:rsid w:val="72CF78A1"/>
    <w:rsid w:val="72D11304"/>
    <w:rsid w:val="72D1172F"/>
    <w:rsid w:val="72D354A8"/>
    <w:rsid w:val="72D37256"/>
    <w:rsid w:val="72D52FCE"/>
    <w:rsid w:val="72D54D7C"/>
    <w:rsid w:val="72D80D10"/>
    <w:rsid w:val="72DA4A88"/>
    <w:rsid w:val="72DA58DB"/>
    <w:rsid w:val="72DB435C"/>
    <w:rsid w:val="72DF3E4C"/>
    <w:rsid w:val="72DF5BFA"/>
    <w:rsid w:val="72E256EB"/>
    <w:rsid w:val="72E27499"/>
    <w:rsid w:val="72E456BD"/>
    <w:rsid w:val="72E6342D"/>
    <w:rsid w:val="72EC0317"/>
    <w:rsid w:val="72EC6569"/>
    <w:rsid w:val="72EE5E3E"/>
    <w:rsid w:val="72F25A16"/>
    <w:rsid w:val="72F53670"/>
    <w:rsid w:val="72FA6ED8"/>
    <w:rsid w:val="72FC49FE"/>
    <w:rsid w:val="72FF2DB8"/>
    <w:rsid w:val="72FF629D"/>
    <w:rsid w:val="73013DC3"/>
    <w:rsid w:val="730438B3"/>
    <w:rsid w:val="7306762B"/>
    <w:rsid w:val="730B0AF9"/>
    <w:rsid w:val="730B4709"/>
    <w:rsid w:val="730B69EF"/>
    <w:rsid w:val="730C4186"/>
    <w:rsid w:val="730E028E"/>
    <w:rsid w:val="73137F9A"/>
    <w:rsid w:val="73171838"/>
    <w:rsid w:val="731735E6"/>
    <w:rsid w:val="731743ED"/>
    <w:rsid w:val="731955B0"/>
    <w:rsid w:val="731A1328"/>
    <w:rsid w:val="731A30D6"/>
    <w:rsid w:val="731D4975"/>
    <w:rsid w:val="7329156C"/>
    <w:rsid w:val="732B0E40"/>
    <w:rsid w:val="732B7092"/>
    <w:rsid w:val="732C4748"/>
    <w:rsid w:val="732C6966"/>
    <w:rsid w:val="732D2E0A"/>
    <w:rsid w:val="733777E5"/>
    <w:rsid w:val="73385580"/>
    <w:rsid w:val="73391977"/>
    <w:rsid w:val="733F2B3D"/>
    <w:rsid w:val="734053FC"/>
    <w:rsid w:val="7341102A"/>
    <w:rsid w:val="73411796"/>
    <w:rsid w:val="734168B5"/>
    <w:rsid w:val="7343262D"/>
    <w:rsid w:val="734343DB"/>
    <w:rsid w:val="734B7734"/>
    <w:rsid w:val="734F0FD2"/>
    <w:rsid w:val="73506AF8"/>
    <w:rsid w:val="735241C8"/>
    <w:rsid w:val="73577E87"/>
    <w:rsid w:val="73591E51"/>
    <w:rsid w:val="735A7977"/>
    <w:rsid w:val="735C36EF"/>
    <w:rsid w:val="735D4698"/>
    <w:rsid w:val="735E1215"/>
    <w:rsid w:val="735F6D3B"/>
    <w:rsid w:val="73600C29"/>
    <w:rsid w:val="736373D2"/>
    <w:rsid w:val="73661E78"/>
    <w:rsid w:val="736B0572"/>
    <w:rsid w:val="736E6F7E"/>
    <w:rsid w:val="736F3422"/>
    <w:rsid w:val="73702CF6"/>
    <w:rsid w:val="7372081D"/>
    <w:rsid w:val="737427E7"/>
    <w:rsid w:val="73751A6D"/>
    <w:rsid w:val="73770529"/>
    <w:rsid w:val="7379604F"/>
    <w:rsid w:val="737974C3"/>
    <w:rsid w:val="737A4969"/>
    <w:rsid w:val="737C5B3F"/>
    <w:rsid w:val="737F73DD"/>
    <w:rsid w:val="73835CCC"/>
    <w:rsid w:val="73836ECE"/>
    <w:rsid w:val="738549F4"/>
    <w:rsid w:val="738642C8"/>
    <w:rsid w:val="738B18DE"/>
    <w:rsid w:val="738B7B30"/>
    <w:rsid w:val="738D38A8"/>
    <w:rsid w:val="738D66D7"/>
    <w:rsid w:val="73920EBF"/>
    <w:rsid w:val="73924331"/>
    <w:rsid w:val="739369E5"/>
    <w:rsid w:val="73966C01"/>
    <w:rsid w:val="739764D5"/>
    <w:rsid w:val="739A7D73"/>
    <w:rsid w:val="73A155A6"/>
    <w:rsid w:val="73A17E6A"/>
    <w:rsid w:val="73A624F6"/>
    <w:rsid w:val="73A6496A"/>
    <w:rsid w:val="73A72F36"/>
    <w:rsid w:val="73A82490"/>
    <w:rsid w:val="73AD0F38"/>
    <w:rsid w:val="73B13A3B"/>
    <w:rsid w:val="73B2330F"/>
    <w:rsid w:val="73B52DFF"/>
    <w:rsid w:val="73B9644B"/>
    <w:rsid w:val="73BC418E"/>
    <w:rsid w:val="73BD6F62"/>
    <w:rsid w:val="73BF5E1A"/>
    <w:rsid w:val="73C117A4"/>
    <w:rsid w:val="73C254AB"/>
    <w:rsid w:val="73C31078"/>
    <w:rsid w:val="73C80D84"/>
    <w:rsid w:val="73CA0659"/>
    <w:rsid w:val="73CB5B81"/>
    <w:rsid w:val="73CC2623"/>
    <w:rsid w:val="73CC2F4C"/>
    <w:rsid w:val="73CD639B"/>
    <w:rsid w:val="73CF3EC1"/>
    <w:rsid w:val="73D019E7"/>
    <w:rsid w:val="73D2750D"/>
    <w:rsid w:val="73D43285"/>
    <w:rsid w:val="73D47729"/>
    <w:rsid w:val="73E05DD1"/>
    <w:rsid w:val="73E16D57"/>
    <w:rsid w:val="73E223A7"/>
    <w:rsid w:val="73E3171A"/>
    <w:rsid w:val="73E536E4"/>
    <w:rsid w:val="73EA0CFB"/>
    <w:rsid w:val="73EE0AE6"/>
    <w:rsid w:val="73EF4563"/>
    <w:rsid w:val="73F05BE5"/>
    <w:rsid w:val="73F30869"/>
    <w:rsid w:val="73F44B5D"/>
    <w:rsid w:val="73F76F74"/>
    <w:rsid w:val="73FC27DC"/>
    <w:rsid w:val="73FE6554"/>
    <w:rsid w:val="7400407A"/>
    <w:rsid w:val="74023857"/>
    <w:rsid w:val="74026044"/>
    <w:rsid w:val="740A314B"/>
    <w:rsid w:val="740D6797"/>
    <w:rsid w:val="740F7524"/>
    <w:rsid w:val="74116287"/>
    <w:rsid w:val="74145D78"/>
    <w:rsid w:val="74161AF0"/>
    <w:rsid w:val="74181387"/>
    <w:rsid w:val="7419338E"/>
    <w:rsid w:val="7419513C"/>
    <w:rsid w:val="741B7106"/>
    <w:rsid w:val="741B7D08"/>
    <w:rsid w:val="741C1198"/>
    <w:rsid w:val="741F60B3"/>
    <w:rsid w:val="7420296E"/>
    <w:rsid w:val="74213FF1"/>
    <w:rsid w:val="74251D33"/>
    <w:rsid w:val="74253AE1"/>
    <w:rsid w:val="7428537F"/>
    <w:rsid w:val="742A7349"/>
    <w:rsid w:val="742C1313"/>
    <w:rsid w:val="742D0BE7"/>
    <w:rsid w:val="742F4960"/>
    <w:rsid w:val="743106D8"/>
    <w:rsid w:val="7431692A"/>
    <w:rsid w:val="743261FE"/>
    <w:rsid w:val="74343D24"/>
    <w:rsid w:val="7434641A"/>
    <w:rsid w:val="74363F40"/>
    <w:rsid w:val="74365CEE"/>
    <w:rsid w:val="74373814"/>
    <w:rsid w:val="74387230"/>
    <w:rsid w:val="74387CB8"/>
    <w:rsid w:val="743C0E2B"/>
    <w:rsid w:val="743D52CE"/>
    <w:rsid w:val="743F4532"/>
    <w:rsid w:val="7443040B"/>
    <w:rsid w:val="744523D5"/>
    <w:rsid w:val="74485A21"/>
    <w:rsid w:val="744877CF"/>
    <w:rsid w:val="74493C73"/>
    <w:rsid w:val="744A79EB"/>
    <w:rsid w:val="744E2B97"/>
    <w:rsid w:val="7453624B"/>
    <w:rsid w:val="74542618"/>
    <w:rsid w:val="745B519B"/>
    <w:rsid w:val="745B5755"/>
    <w:rsid w:val="746049BA"/>
    <w:rsid w:val="746D7236"/>
    <w:rsid w:val="746E36DA"/>
    <w:rsid w:val="746F1200"/>
    <w:rsid w:val="746F2FAE"/>
    <w:rsid w:val="747131CA"/>
    <w:rsid w:val="74714F78"/>
    <w:rsid w:val="7472484C"/>
    <w:rsid w:val="74730CF0"/>
    <w:rsid w:val="74736F42"/>
    <w:rsid w:val="747533B8"/>
    <w:rsid w:val="7476258E"/>
    <w:rsid w:val="74786307"/>
    <w:rsid w:val="7479207F"/>
    <w:rsid w:val="747B5DF7"/>
    <w:rsid w:val="747D1B6F"/>
    <w:rsid w:val="747E1443"/>
    <w:rsid w:val="747F58E7"/>
    <w:rsid w:val="74850A24"/>
    <w:rsid w:val="748630EC"/>
    <w:rsid w:val="748702F8"/>
    <w:rsid w:val="74874E5A"/>
    <w:rsid w:val="74890514"/>
    <w:rsid w:val="748A7DE8"/>
    <w:rsid w:val="748D1686"/>
    <w:rsid w:val="748E002A"/>
    <w:rsid w:val="748E78C8"/>
    <w:rsid w:val="749018A2"/>
    <w:rsid w:val="74922C23"/>
    <w:rsid w:val="74956EB9"/>
    <w:rsid w:val="749649DF"/>
    <w:rsid w:val="749A44CF"/>
    <w:rsid w:val="749E5641"/>
    <w:rsid w:val="749F7D37"/>
    <w:rsid w:val="74A227F4"/>
    <w:rsid w:val="74A2568B"/>
    <w:rsid w:val="74A37772"/>
    <w:rsid w:val="74A470FC"/>
    <w:rsid w:val="74AA048A"/>
    <w:rsid w:val="74AC5FB0"/>
    <w:rsid w:val="74AE3AD6"/>
    <w:rsid w:val="74B03CF2"/>
    <w:rsid w:val="74B135C7"/>
    <w:rsid w:val="74B44E65"/>
    <w:rsid w:val="74B80DF9"/>
    <w:rsid w:val="74B825D9"/>
    <w:rsid w:val="74B86703"/>
    <w:rsid w:val="74BA5E3A"/>
    <w:rsid w:val="74C4154C"/>
    <w:rsid w:val="74C47F76"/>
    <w:rsid w:val="74C5589B"/>
    <w:rsid w:val="74C90910"/>
    <w:rsid w:val="74CB28DA"/>
    <w:rsid w:val="74CE5F27"/>
    <w:rsid w:val="74D15A17"/>
    <w:rsid w:val="74D3353D"/>
    <w:rsid w:val="74DB6895"/>
    <w:rsid w:val="74DD260E"/>
    <w:rsid w:val="74DF0134"/>
    <w:rsid w:val="74E078D2"/>
    <w:rsid w:val="74E120FE"/>
    <w:rsid w:val="74E7348C"/>
    <w:rsid w:val="74E7364B"/>
    <w:rsid w:val="74E92D60"/>
    <w:rsid w:val="74EA0887"/>
    <w:rsid w:val="74EE3366"/>
    <w:rsid w:val="74EE65C9"/>
    <w:rsid w:val="74F02341"/>
    <w:rsid w:val="74F14482"/>
    <w:rsid w:val="74F17E67"/>
    <w:rsid w:val="74F33BDF"/>
    <w:rsid w:val="74F6547D"/>
    <w:rsid w:val="74F65CA7"/>
    <w:rsid w:val="74F6722B"/>
    <w:rsid w:val="74F811F5"/>
    <w:rsid w:val="74FA31C0"/>
    <w:rsid w:val="74FC07C9"/>
    <w:rsid w:val="74FC09F3"/>
    <w:rsid w:val="74FD32BB"/>
    <w:rsid w:val="74FD680C"/>
    <w:rsid w:val="74FF42EB"/>
    <w:rsid w:val="7501454E"/>
    <w:rsid w:val="75061904"/>
    <w:rsid w:val="75061B64"/>
    <w:rsid w:val="750668B5"/>
    <w:rsid w:val="75076C79"/>
    <w:rsid w:val="7507768A"/>
    <w:rsid w:val="750D2EF3"/>
    <w:rsid w:val="750E0E19"/>
    <w:rsid w:val="750F340D"/>
    <w:rsid w:val="751002ED"/>
    <w:rsid w:val="75133BF1"/>
    <w:rsid w:val="7516167C"/>
    <w:rsid w:val="751778A9"/>
    <w:rsid w:val="75197A63"/>
    <w:rsid w:val="751A5610"/>
    <w:rsid w:val="751C1388"/>
    <w:rsid w:val="7521074C"/>
    <w:rsid w:val="752246FB"/>
    <w:rsid w:val="75232716"/>
    <w:rsid w:val="75265D63"/>
    <w:rsid w:val="75287D2D"/>
    <w:rsid w:val="752B3379"/>
    <w:rsid w:val="752B4A48"/>
    <w:rsid w:val="752C70F1"/>
    <w:rsid w:val="753164B5"/>
    <w:rsid w:val="75321D4A"/>
    <w:rsid w:val="75355FA6"/>
    <w:rsid w:val="753606CB"/>
    <w:rsid w:val="75383CE8"/>
    <w:rsid w:val="753C37D8"/>
    <w:rsid w:val="753C59CD"/>
    <w:rsid w:val="753D4FBB"/>
    <w:rsid w:val="75414337"/>
    <w:rsid w:val="754206C3"/>
    <w:rsid w:val="75422471"/>
    <w:rsid w:val="754555EF"/>
    <w:rsid w:val="75466405"/>
    <w:rsid w:val="754E3DD7"/>
    <w:rsid w:val="754E7067"/>
    <w:rsid w:val="75502DDF"/>
    <w:rsid w:val="75510906"/>
    <w:rsid w:val="75530B22"/>
    <w:rsid w:val="75566EA0"/>
    <w:rsid w:val="755F1275"/>
    <w:rsid w:val="75607007"/>
    <w:rsid w:val="75614FED"/>
    <w:rsid w:val="75643C4B"/>
    <w:rsid w:val="75660855"/>
    <w:rsid w:val="75667C5E"/>
    <w:rsid w:val="75671ED7"/>
    <w:rsid w:val="7568637B"/>
    <w:rsid w:val="75693EA1"/>
    <w:rsid w:val="756B5E6B"/>
    <w:rsid w:val="756D3991"/>
    <w:rsid w:val="75706FDE"/>
    <w:rsid w:val="7571114B"/>
    <w:rsid w:val="7573132B"/>
    <w:rsid w:val="7577036C"/>
    <w:rsid w:val="75774810"/>
    <w:rsid w:val="757765BE"/>
    <w:rsid w:val="75790A33"/>
    <w:rsid w:val="757934F0"/>
    <w:rsid w:val="757E794D"/>
    <w:rsid w:val="758331B5"/>
    <w:rsid w:val="758415F2"/>
    <w:rsid w:val="75842A89"/>
    <w:rsid w:val="75874C25"/>
    <w:rsid w:val="75882579"/>
    <w:rsid w:val="7589009F"/>
    <w:rsid w:val="758E56B6"/>
    <w:rsid w:val="7590142E"/>
    <w:rsid w:val="7591545C"/>
    <w:rsid w:val="7592164A"/>
    <w:rsid w:val="759224B5"/>
    <w:rsid w:val="759251A6"/>
    <w:rsid w:val="75930F1E"/>
    <w:rsid w:val="75933DFC"/>
    <w:rsid w:val="759C4277"/>
    <w:rsid w:val="759C6025"/>
    <w:rsid w:val="759C7DD3"/>
    <w:rsid w:val="759E3B4B"/>
    <w:rsid w:val="75A03D67"/>
    <w:rsid w:val="75A5228D"/>
    <w:rsid w:val="75A650F5"/>
    <w:rsid w:val="75A91E7D"/>
    <w:rsid w:val="75AD0232"/>
    <w:rsid w:val="75B0387E"/>
    <w:rsid w:val="75B23A9A"/>
    <w:rsid w:val="75B3511C"/>
    <w:rsid w:val="75B415C0"/>
    <w:rsid w:val="75B63129"/>
    <w:rsid w:val="75B650A4"/>
    <w:rsid w:val="75BC66C7"/>
    <w:rsid w:val="75BE2C13"/>
    <w:rsid w:val="75C15A8B"/>
    <w:rsid w:val="75C4732A"/>
    <w:rsid w:val="75C537CD"/>
    <w:rsid w:val="75C612F4"/>
    <w:rsid w:val="75C64E50"/>
    <w:rsid w:val="75C80FD3"/>
    <w:rsid w:val="75C94940"/>
    <w:rsid w:val="75C95155"/>
    <w:rsid w:val="75CA2B92"/>
    <w:rsid w:val="75CB4B5C"/>
    <w:rsid w:val="75CD163E"/>
    <w:rsid w:val="75CF63FA"/>
    <w:rsid w:val="75D05CCE"/>
    <w:rsid w:val="75D237F5"/>
    <w:rsid w:val="75D42EB3"/>
    <w:rsid w:val="75D67789"/>
    <w:rsid w:val="75D7705D"/>
    <w:rsid w:val="75D92DD5"/>
    <w:rsid w:val="75DC3A8B"/>
    <w:rsid w:val="75DD619C"/>
    <w:rsid w:val="75DE488F"/>
    <w:rsid w:val="75DF5F11"/>
    <w:rsid w:val="75E308CD"/>
    <w:rsid w:val="75E37E6A"/>
    <w:rsid w:val="75E73E9C"/>
    <w:rsid w:val="75E874BC"/>
    <w:rsid w:val="75EA6D90"/>
    <w:rsid w:val="75EB0D5A"/>
    <w:rsid w:val="75EC30C0"/>
    <w:rsid w:val="75EF43A6"/>
    <w:rsid w:val="75F25C45"/>
    <w:rsid w:val="75F82DA4"/>
    <w:rsid w:val="75F93477"/>
    <w:rsid w:val="75FA49E1"/>
    <w:rsid w:val="75FD6CEB"/>
    <w:rsid w:val="75FE283B"/>
    <w:rsid w:val="760065B4"/>
    <w:rsid w:val="76021882"/>
    <w:rsid w:val="760342F6"/>
    <w:rsid w:val="76065B94"/>
    <w:rsid w:val="76083D29"/>
    <w:rsid w:val="7608664D"/>
    <w:rsid w:val="760B6D06"/>
    <w:rsid w:val="76120095"/>
    <w:rsid w:val="76124539"/>
    <w:rsid w:val="761402B1"/>
    <w:rsid w:val="76143E0D"/>
    <w:rsid w:val="76160679"/>
    <w:rsid w:val="76164029"/>
    <w:rsid w:val="76170515"/>
    <w:rsid w:val="761715C6"/>
    <w:rsid w:val="76171B4F"/>
    <w:rsid w:val="761756AB"/>
    <w:rsid w:val="76181CDC"/>
    <w:rsid w:val="76191423"/>
    <w:rsid w:val="761D53B8"/>
    <w:rsid w:val="761E337E"/>
    <w:rsid w:val="762234B6"/>
    <w:rsid w:val="762322A2"/>
    <w:rsid w:val="76242EC1"/>
    <w:rsid w:val="76280742"/>
    <w:rsid w:val="762A1337"/>
    <w:rsid w:val="762A53DF"/>
    <w:rsid w:val="76377AFB"/>
    <w:rsid w:val="763B583E"/>
    <w:rsid w:val="763E532E"/>
    <w:rsid w:val="76401B62"/>
    <w:rsid w:val="7641297E"/>
    <w:rsid w:val="76422779"/>
    <w:rsid w:val="764364A0"/>
    <w:rsid w:val="76481D09"/>
    <w:rsid w:val="76484561"/>
    <w:rsid w:val="764D731F"/>
    <w:rsid w:val="764F12E9"/>
    <w:rsid w:val="76515061"/>
    <w:rsid w:val="76562678"/>
    <w:rsid w:val="76564426"/>
    <w:rsid w:val="765863F0"/>
    <w:rsid w:val="765B1A3C"/>
    <w:rsid w:val="765C57B4"/>
    <w:rsid w:val="765C7562"/>
    <w:rsid w:val="765D13EA"/>
    <w:rsid w:val="766052A4"/>
    <w:rsid w:val="76636B42"/>
    <w:rsid w:val="766574D1"/>
    <w:rsid w:val="766823AB"/>
    <w:rsid w:val="7668708B"/>
    <w:rsid w:val="766A1420"/>
    <w:rsid w:val="766C1E9B"/>
    <w:rsid w:val="766C3C49"/>
    <w:rsid w:val="767201AA"/>
    <w:rsid w:val="7674340E"/>
    <w:rsid w:val="76764AC8"/>
    <w:rsid w:val="767945B8"/>
    <w:rsid w:val="767B0330"/>
    <w:rsid w:val="767C3DB4"/>
    <w:rsid w:val="767D7C04"/>
    <w:rsid w:val="767F3E5C"/>
    <w:rsid w:val="768048DE"/>
    <w:rsid w:val="768865A9"/>
    <w:rsid w:val="768A0573"/>
    <w:rsid w:val="768A2321"/>
    <w:rsid w:val="768C4B81"/>
    <w:rsid w:val="768F2CE9"/>
    <w:rsid w:val="769413F2"/>
    <w:rsid w:val="76962A74"/>
    <w:rsid w:val="769907B6"/>
    <w:rsid w:val="769B008A"/>
    <w:rsid w:val="769B452E"/>
    <w:rsid w:val="769E5DCD"/>
    <w:rsid w:val="76A47C80"/>
    <w:rsid w:val="76A50F09"/>
    <w:rsid w:val="76A5715B"/>
    <w:rsid w:val="76AA651F"/>
    <w:rsid w:val="76AC04E9"/>
    <w:rsid w:val="76AF7FDA"/>
    <w:rsid w:val="76B34F66"/>
    <w:rsid w:val="76B4739E"/>
    <w:rsid w:val="76BA0E58"/>
    <w:rsid w:val="76BD44A5"/>
    <w:rsid w:val="76BD6253"/>
    <w:rsid w:val="76C021E7"/>
    <w:rsid w:val="76C05D43"/>
    <w:rsid w:val="76C07AF1"/>
    <w:rsid w:val="76C43A85"/>
    <w:rsid w:val="76C577FD"/>
    <w:rsid w:val="76C70E7F"/>
    <w:rsid w:val="76C75323"/>
    <w:rsid w:val="76C80F10"/>
    <w:rsid w:val="76D161A2"/>
    <w:rsid w:val="76D35A76"/>
    <w:rsid w:val="76D37824"/>
    <w:rsid w:val="76D42ECC"/>
    <w:rsid w:val="76D50C85"/>
    <w:rsid w:val="76D67314"/>
    <w:rsid w:val="76D72343"/>
    <w:rsid w:val="76D96E05"/>
    <w:rsid w:val="76DA32A9"/>
    <w:rsid w:val="76DB0DCF"/>
    <w:rsid w:val="76DD06A3"/>
    <w:rsid w:val="76DE1045"/>
    <w:rsid w:val="76E23F0B"/>
    <w:rsid w:val="76E41A31"/>
    <w:rsid w:val="76E45ED5"/>
    <w:rsid w:val="76E539FB"/>
    <w:rsid w:val="76E732D0"/>
    <w:rsid w:val="76EA2DC0"/>
    <w:rsid w:val="76EB5E26"/>
    <w:rsid w:val="76EC030B"/>
    <w:rsid w:val="76EC08E6"/>
    <w:rsid w:val="76EE0B02"/>
    <w:rsid w:val="76EF36ED"/>
    <w:rsid w:val="76F53C3E"/>
    <w:rsid w:val="76F61765"/>
    <w:rsid w:val="76F9750E"/>
    <w:rsid w:val="76FA1255"/>
    <w:rsid w:val="76FA3D9F"/>
    <w:rsid w:val="76FD0D45"/>
    <w:rsid w:val="76FD2043"/>
    <w:rsid w:val="770743C3"/>
    <w:rsid w:val="77075720"/>
    <w:rsid w:val="770A650F"/>
    <w:rsid w:val="770E2F52"/>
    <w:rsid w:val="77112A42"/>
    <w:rsid w:val="77137762"/>
    <w:rsid w:val="771463D1"/>
    <w:rsid w:val="77147E3D"/>
    <w:rsid w:val="77183DD1"/>
    <w:rsid w:val="771A18F7"/>
    <w:rsid w:val="771D4F43"/>
    <w:rsid w:val="7722255A"/>
    <w:rsid w:val="7726029C"/>
    <w:rsid w:val="772938E8"/>
    <w:rsid w:val="772B3B04"/>
    <w:rsid w:val="772B58B2"/>
    <w:rsid w:val="772B7660"/>
    <w:rsid w:val="772C162A"/>
    <w:rsid w:val="772C2BCD"/>
    <w:rsid w:val="772E53A2"/>
    <w:rsid w:val="772E5BDE"/>
    <w:rsid w:val="773329B9"/>
    <w:rsid w:val="773A3D47"/>
    <w:rsid w:val="77405FA2"/>
    <w:rsid w:val="774104A2"/>
    <w:rsid w:val="77416E84"/>
    <w:rsid w:val="77422BFC"/>
    <w:rsid w:val="77444BC6"/>
    <w:rsid w:val="77470212"/>
    <w:rsid w:val="77475E44"/>
    <w:rsid w:val="774A39DA"/>
    <w:rsid w:val="774B7D02"/>
    <w:rsid w:val="774C4DEA"/>
    <w:rsid w:val="774E334F"/>
    <w:rsid w:val="77514BED"/>
    <w:rsid w:val="77517EAB"/>
    <w:rsid w:val="775B1257"/>
    <w:rsid w:val="775C1F10"/>
    <w:rsid w:val="775C5DC7"/>
    <w:rsid w:val="77642B72"/>
    <w:rsid w:val="77644920"/>
    <w:rsid w:val="776808B4"/>
    <w:rsid w:val="776C147A"/>
    <w:rsid w:val="776C1A27"/>
    <w:rsid w:val="776C1D6B"/>
    <w:rsid w:val="77701517"/>
    <w:rsid w:val="7771703D"/>
    <w:rsid w:val="77737259"/>
    <w:rsid w:val="77770AF7"/>
    <w:rsid w:val="77777CEB"/>
    <w:rsid w:val="777806A1"/>
    <w:rsid w:val="777C7EBC"/>
    <w:rsid w:val="77801376"/>
    <w:rsid w:val="77813724"/>
    <w:rsid w:val="7782124A"/>
    <w:rsid w:val="77843214"/>
    <w:rsid w:val="77876861"/>
    <w:rsid w:val="778925D9"/>
    <w:rsid w:val="77894387"/>
    <w:rsid w:val="778B0F02"/>
    <w:rsid w:val="778E33FA"/>
    <w:rsid w:val="778E3EED"/>
    <w:rsid w:val="77904CEC"/>
    <w:rsid w:val="77935205"/>
    <w:rsid w:val="77955421"/>
    <w:rsid w:val="77974CF6"/>
    <w:rsid w:val="77980A6E"/>
    <w:rsid w:val="779A6594"/>
    <w:rsid w:val="779B02BA"/>
    <w:rsid w:val="77A17922"/>
    <w:rsid w:val="77A967D7"/>
    <w:rsid w:val="77AB07A1"/>
    <w:rsid w:val="77AB69F3"/>
    <w:rsid w:val="77AE203F"/>
    <w:rsid w:val="77AE3DED"/>
    <w:rsid w:val="77AF3E74"/>
    <w:rsid w:val="77B07B65"/>
    <w:rsid w:val="77B8352B"/>
    <w:rsid w:val="77BC29AE"/>
    <w:rsid w:val="77BD2282"/>
    <w:rsid w:val="77BF5FFA"/>
    <w:rsid w:val="77C25152"/>
    <w:rsid w:val="77C41863"/>
    <w:rsid w:val="77C6382D"/>
    <w:rsid w:val="77C77105"/>
    <w:rsid w:val="77C77655"/>
    <w:rsid w:val="77C83101"/>
    <w:rsid w:val="77CA4292"/>
    <w:rsid w:val="77CA50CB"/>
    <w:rsid w:val="77CB499F"/>
    <w:rsid w:val="77CD4BBB"/>
    <w:rsid w:val="77D23F80"/>
    <w:rsid w:val="77D25D2E"/>
    <w:rsid w:val="77D4788F"/>
    <w:rsid w:val="77D575CC"/>
    <w:rsid w:val="77D64484"/>
    <w:rsid w:val="77DA1086"/>
    <w:rsid w:val="77DB72D8"/>
    <w:rsid w:val="77DE0B76"/>
    <w:rsid w:val="77DE57B1"/>
    <w:rsid w:val="77DF620D"/>
    <w:rsid w:val="77E90EE2"/>
    <w:rsid w:val="77E922B4"/>
    <w:rsid w:val="77EB3293"/>
    <w:rsid w:val="77ED0DBA"/>
    <w:rsid w:val="77ED2B68"/>
    <w:rsid w:val="77F263D0"/>
    <w:rsid w:val="77F4039A"/>
    <w:rsid w:val="77F42148"/>
    <w:rsid w:val="77F923B9"/>
    <w:rsid w:val="77FA7033"/>
    <w:rsid w:val="77FC2DAB"/>
    <w:rsid w:val="78016613"/>
    <w:rsid w:val="78034139"/>
    <w:rsid w:val="780659D7"/>
    <w:rsid w:val="78081990"/>
    <w:rsid w:val="780A371A"/>
    <w:rsid w:val="780B56E4"/>
    <w:rsid w:val="780D6D66"/>
    <w:rsid w:val="780F0D30"/>
    <w:rsid w:val="780F6F82"/>
    <w:rsid w:val="78126A72"/>
    <w:rsid w:val="781400F4"/>
    <w:rsid w:val="78144598"/>
    <w:rsid w:val="78153095"/>
    <w:rsid w:val="78153E6C"/>
    <w:rsid w:val="781A06BE"/>
    <w:rsid w:val="781A1483"/>
    <w:rsid w:val="781A58E7"/>
    <w:rsid w:val="781E5417"/>
    <w:rsid w:val="782347DB"/>
    <w:rsid w:val="78244786"/>
    <w:rsid w:val="782A3DB7"/>
    <w:rsid w:val="782A7A04"/>
    <w:rsid w:val="782B177E"/>
    <w:rsid w:val="782D11B6"/>
    <w:rsid w:val="782D7408"/>
    <w:rsid w:val="782F4F2E"/>
    <w:rsid w:val="78320EC2"/>
    <w:rsid w:val="7833145C"/>
    <w:rsid w:val="78370287"/>
    <w:rsid w:val="7837159B"/>
    <w:rsid w:val="783764D9"/>
    <w:rsid w:val="78393FFF"/>
    <w:rsid w:val="78395DAD"/>
    <w:rsid w:val="783C3AEF"/>
    <w:rsid w:val="783E1615"/>
    <w:rsid w:val="783E7867"/>
    <w:rsid w:val="7840713B"/>
    <w:rsid w:val="78436C2C"/>
    <w:rsid w:val="784604CA"/>
    <w:rsid w:val="784A620C"/>
    <w:rsid w:val="784B3176"/>
    <w:rsid w:val="784B5AE0"/>
    <w:rsid w:val="784C3D32"/>
    <w:rsid w:val="78500BEA"/>
    <w:rsid w:val="78505A11"/>
    <w:rsid w:val="785250C1"/>
    <w:rsid w:val="78542BE7"/>
    <w:rsid w:val="78564BB1"/>
    <w:rsid w:val="785B3F75"/>
    <w:rsid w:val="785C7CED"/>
    <w:rsid w:val="785E1CB7"/>
    <w:rsid w:val="785E5813"/>
    <w:rsid w:val="785E75C1"/>
    <w:rsid w:val="786258A4"/>
    <w:rsid w:val="7863107C"/>
    <w:rsid w:val="78661439"/>
    <w:rsid w:val="7866291A"/>
    <w:rsid w:val="786646C8"/>
    <w:rsid w:val="786838E4"/>
    <w:rsid w:val="786A065C"/>
    <w:rsid w:val="786D3CA8"/>
    <w:rsid w:val="786D5A56"/>
    <w:rsid w:val="78715547"/>
    <w:rsid w:val="78744294"/>
    <w:rsid w:val="78760DAF"/>
    <w:rsid w:val="787768D5"/>
    <w:rsid w:val="7879379E"/>
    <w:rsid w:val="787943FB"/>
    <w:rsid w:val="787A60AB"/>
    <w:rsid w:val="787B4617"/>
    <w:rsid w:val="787E7C64"/>
    <w:rsid w:val="78811502"/>
    <w:rsid w:val="78827754"/>
    <w:rsid w:val="7883171E"/>
    <w:rsid w:val="78866B18"/>
    <w:rsid w:val="78882890"/>
    <w:rsid w:val="788A2AAC"/>
    <w:rsid w:val="788A485A"/>
    <w:rsid w:val="788B6381"/>
    <w:rsid w:val="788D434B"/>
    <w:rsid w:val="788D7EA7"/>
    <w:rsid w:val="788F3900"/>
    <w:rsid w:val="788F3C1F"/>
    <w:rsid w:val="78947487"/>
    <w:rsid w:val="789816F7"/>
    <w:rsid w:val="78986F77"/>
    <w:rsid w:val="78994A9D"/>
    <w:rsid w:val="789B444E"/>
    <w:rsid w:val="789C2A58"/>
    <w:rsid w:val="789C2C49"/>
    <w:rsid w:val="78A251EB"/>
    <w:rsid w:val="78A27DF6"/>
    <w:rsid w:val="78A376CA"/>
    <w:rsid w:val="78A51694"/>
    <w:rsid w:val="78A7540C"/>
    <w:rsid w:val="78A82F32"/>
    <w:rsid w:val="78A91184"/>
    <w:rsid w:val="78AA0A59"/>
    <w:rsid w:val="78AC657F"/>
    <w:rsid w:val="78AD0549"/>
    <w:rsid w:val="78AF2513"/>
    <w:rsid w:val="78B10039"/>
    <w:rsid w:val="78B23C01"/>
    <w:rsid w:val="78BB2C66"/>
    <w:rsid w:val="78BB4A14"/>
    <w:rsid w:val="78BD078C"/>
    <w:rsid w:val="78BD1F82"/>
    <w:rsid w:val="78C0202A"/>
    <w:rsid w:val="78C079E2"/>
    <w:rsid w:val="78C16FB7"/>
    <w:rsid w:val="78C23FF4"/>
    <w:rsid w:val="78CE1FD7"/>
    <w:rsid w:val="78CE64DF"/>
    <w:rsid w:val="78CF226D"/>
    <w:rsid w:val="78D0463B"/>
    <w:rsid w:val="78D41F79"/>
    <w:rsid w:val="78D635FC"/>
    <w:rsid w:val="78D9133E"/>
    <w:rsid w:val="78D92BEB"/>
    <w:rsid w:val="78DB3308"/>
    <w:rsid w:val="78E0179C"/>
    <w:rsid w:val="78E75809"/>
    <w:rsid w:val="78EA70A7"/>
    <w:rsid w:val="78EC1071"/>
    <w:rsid w:val="78EF46BD"/>
    <w:rsid w:val="78F2434C"/>
    <w:rsid w:val="78F30652"/>
    <w:rsid w:val="78F32400"/>
    <w:rsid w:val="78F41CD4"/>
    <w:rsid w:val="78F817C4"/>
    <w:rsid w:val="78FF6FF6"/>
    <w:rsid w:val="79005D96"/>
    <w:rsid w:val="79022643"/>
    <w:rsid w:val="79022760"/>
    <w:rsid w:val="790243F1"/>
    <w:rsid w:val="79053EE1"/>
    <w:rsid w:val="7906595E"/>
    <w:rsid w:val="790A7749"/>
    <w:rsid w:val="790E2D96"/>
    <w:rsid w:val="79116D2A"/>
    <w:rsid w:val="791505C8"/>
    <w:rsid w:val="79164340"/>
    <w:rsid w:val="7917686A"/>
    <w:rsid w:val="791800B8"/>
    <w:rsid w:val="7919798C"/>
    <w:rsid w:val="791B3704"/>
    <w:rsid w:val="791D122B"/>
    <w:rsid w:val="791D56CF"/>
    <w:rsid w:val="79200D1B"/>
    <w:rsid w:val="7924080B"/>
    <w:rsid w:val="79246A5D"/>
    <w:rsid w:val="79254583"/>
    <w:rsid w:val="79273E57"/>
    <w:rsid w:val="792A3948"/>
    <w:rsid w:val="792C5912"/>
    <w:rsid w:val="792C76C0"/>
    <w:rsid w:val="79314CD6"/>
    <w:rsid w:val="79330A4E"/>
    <w:rsid w:val="79344C86"/>
    <w:rsid w:val="793842B6"/>
    <w:rsid w:val="79386064"/>
    <w:rsid w:val="793E4EAB"/>
    <w:rsid w:val="79420C91"/>
    <w:rsid w:val="794644CA"/>
    <w:rsid w:val="794B7201"/>
    <w:rsid w:val="794C38BE"/>
    <w:rsid w:val="794C5FB4"/>
    <w:rsid w:val="79534C4C"/>
    <w:rsid w:val="79554E68"/>
    <w:rsid w:val="79556C16"/>
    <w:rsid w:val="79584959"/>
    <w:rsid w:val="795A422D"/>
    <w:rsid w:val="795B0ABE"/>
    <w:rsid w:val="795D3D1D"/>
    <w:rsid w:val="795F5CE7"/>
    <w:rsid w:val="79646E59"/>
    <w:rsid w:val="79654980"/>
    <w:rsid w:val="796822CC"/>
    <w:rsid w:val="796A6496"/>
    <w:rsid w:val="796B468C"/>
    <w:rsid w:val="796B643A"/>
    <w:rsid w:val="79701CA2"/>
    <w:rsid w:val="797177C8"/>
    <w:rsid w:val="79733540"/>
    <w:rsid w:val="797509D8"/>
    <w:rsid w:val="797572B9"/>
    <w:rsid w:val="79764DDF"/>
    <w:rsid w:val="797D7F1B"/>
    <w:rsid w:val="797F0137"/>
    <w:rsid w:val="79817A0B"/>
    <w:rsid w:val="798219D5"/>
    <w:rsid w:val="79872B48"/>
    <w:rsid w:val="798B1783"/>
    <w:rsid w:val="798B2638"/>
    <w:rsid w:val="79905EA0"/>
    <w:rsid w:val="79927E6B"/>
    <w:rsid w:val="799314ED"/>
    <w:rsid w:val="7993773F"/>
    <w:rsid w:val="79951709"/>
    <w:rsid w:val="79960FDD"/>
    <w:rsid w:val="7997722F"/>
    <w:rsid w:val="799D05BD"/>
    <w:rsid w:val="799F7E92"/>
    <w:rsid w:val="79A100AE"/>
    <w:rsid w:val="79A11135"/>
    <w:rsid w:val="79A47B9E"/>
    <w:rsid w:val="79A96F62"/>
    <w:rsid w:val="79AA009F"/>
    <w:rsid w:val="79AB2CDA"/>
    <w:rsid w:val="79AE6381"/>
    <w:rsid w:val="79B2108A"/>
    <w:rsid w:val="79B37DE1"/>
    <w:rsid w:val="79B55907"/>
    <w:rsid w:val="79B80F53"/>
    <w:rsid w:val="79BA2F1D"/>
    <w:rsid w:val="79BA4CCB"/>
    <w:rsid w:val="79BC6C95"/>
    <w:rsid w:val="79BE0C60"/>
    <w:rsid w:val="79C02F7D"/>
    <w:rsid w:val="79C1605A"/>
    <w:rsid w:val="79C7089C"/>
    <w:rsid w:val="79CA5ED2"/>
    <w:rsid w:val="79CB0C87"/>
    <w:rsid w:val="79CB17D1"/>
    <w:rsid w:val="79CB6ED9"/>
    <w:rsid w:val="79CE0777"/>
    <w:rsid w:val="79D00993"/>
    <w:rsid w:val="79D02741"/>
    <w:rsid w:val="79D261A9"/>
    <w:rsid w:val="79D55FA9"/>
    <w:rsid w:val="79DA35C0"/>
    <w:rsid w:val="79DC7338"/>
    <w:rsid w:val="79E166FC"/>
    <w:rsid w:val="79E32474"/>
    <w:rsid w:val="79E461EC"/>
    <w:rsid w:val="79E63D12"/>
    <w:rsid w:val="79E82189"/>
    <w:rsid w:val="79EA1A55"/>
    <w:rsid w:val="79EB30D7"/>
    <w:rsid w:val="79ED5C29"/>
    <w:rsid w:val="79ED6E4F"/>
    <w:rsid w:val="79F04B91"/>
    <w:rsid w:val="79F20909"/>
    <w:rsid w:val="79F63D5F"/>
    <w:rsid w:val="79F707EE"/>
    <w:rsid w:val="79F71A7C"/>
    <w:rsid w:val="79F75F20"/>
    <w:rsid w:val="79F93A46"/>
    <w:rsid w:val="79FC7092"/>
    <w:rsid w:val="7A0423EA"/>
    <w:rsid w:val="7A0B3779"/>
    <w:rsid w:val="7A0D5743"/>
    <w:rsid w:val="7A0E5017"/>
    <w:rsid w:val="7A140880"/>
    <w:rsid w:val="7A170370"/>
    <w:rsid w:val="7A1940E8"/>
    <w:rsid w:val="7A1A7578"/>
    <w:rsid w:val="7A1C14E2"/>
    <w:rsid w:val="7A1E525A"/>
    <w:rsid w:val="7A1E5C5E"/>
    <w:rsid w:val="7A1F0FD2"/>
    <w:rsid w:val="7A205476"/>
    <w:rsid w:val="7A230AC3"/>
    <w:rsid w:val="7A2B21F4"/>
    <w:rsid w:val="7A2D347F"/>
    <w:rsid w:val="7A2E1215"/>
    <w:rsid w:val="7A301431"/>
    <w:rsid w:val="7A326F58"/>
    <w:rsid w:val="7A3455A7"/>
    <w:rsid w:val="7A37631C"/>
    <w:rsid w:val="7A3E3B4E"/>
    <w:rsid w:val="7A401675"/>
    <w:rsid w:val="7A417E6A"/>
    <w:rsid w:val="7A4647B1"/>
    <w:rsid w:val="7A480529"/>
    <w:rsid w:val="7A48677B"/>
    <w:rsid w:val="7A4D3D91"/>
    <w:rsid w:val="7A4F3F08"/>
    <w:rsid w:val="7A546ECE"/>
    <w:rsid w:val="7A5A025C"/>
    <w:rsid w:val="7A5B64AE"/>
    <w:rsid w:val="7A5C2227"/>
    <w:rsid w:val="7A5E1AFB"/>
    <w:rsid w:val="7A603AC5"/>
    <w:rsid w:val="7A610456"/>
    <w:rsid w:val="7A635363"/>
    <w:rsid w:val="7A6F5AB6"/>
    <w:rsid w:val="7A7255A6"/>
    <w:rsid w:val="7A74131E"/>
    <w:rsid w:val="7A7430CC"/>
    <w:rsid w:val="7A770E0E"/>
    <w:rsid w:val="7A7E3F4B"/>
    <w:rsid w:val="7A804167"/>
    <w:rsid w:val="7A813A3B"/>
    <w:rsid w:val="7A816652"/>
    <w:rsid w:val="7A83049A"/>
    <w:rsid w:val="7A8772A3"/>
    <w:rsid w:val="7A886B78"/>
    <w:rsid w:val="7A8A0B42"/>
    <w:rsid w:val="7A8A6D94"/>
    <w:rsid w:val="7A8F43AA"/>
    <w:rsid w:val="7A92024C"/>
    <w:rsid w:val="7A9419C0"/>
    <w:rsid w:val="7A951295"/>
    <w:rsid w:val="7A97500D"/>
    <w:rsid w:val="7A98347A"/>
    <w:rsid w:val="7A995229"/>
    <w:rsid w:val="7A996FD7"/>
    <w:rsid w:val="7A9B2D4F"/>
    <w:rsid w:val="7A9B68AB"/>
    <w:rsid w:val="7A9E639B"/>
    <w:rsid w:val="7AA00365"/>
    <w:rsid w:val="7AA222D1"/>
    <w:rsid w:val="7AA240DD"/>
    <w:rsid w:val="7AA5597C"/>
    <w:rsid w:val="7AAC0AB8"/>
    <w:rsid w:val="7AAC4F5C"/>
    <w:rsid w:val="7AAD4830"/>
    <w:rsid w:val="7AB20098"/>
    <w:rsid w:val="7AB4366F"/>
    <w:rsid w:val="7AB77117"/>
    <w:rsid w:val="7AB7745D"/>
    <w:rsid w:val="7AB83901"/>
    <w:rsid w:val="7AB94608"/>
    <w:rsid w:val="7ABC4A73"/>
    <w:rsid w:val="7AC2652D"/>
    <w:rsid w:val="7AC322A6"/>
    <w:rsid w:val="7AC53928"/>
    <w:rsid w:val="7AC676A0"/>
    <w:rsid w:val="7AC73B44"/>
    <w:rsid w:val="7ACA3634"/>
    <w:rsid w:val="7ACB4CB6"/>
    <w:rsid w:val="7ACC115A"/>
    <w:rsid w:val="7AD24297"/>
    <w:rsid w:val="7AD324E9"/>
    <w:rsid w:val="7AD601E6"/>
    <w:rsid w:val="7AD63D87"/>
    <w:rsid w:val="7AD7365B"/>
    <w:rsid w:val="7AD85D51"/>
    <w:rsid w:val="7AD93877"/>
    <w:rsid w:val="7AD95625"/>
    <w:rsid w:val="7ADB314B"/>
    <w:rsid w:val="7AE2272C"/>
    <w:rsid w:val="7AE77D42"/>
    <w:rsid w:val="7AEA338E"/>
    <w:rsid w:val="7AEA6C1B"/>
    <w:rsid w:val="7AF366E7"/>
    <w:rsid w:val="7AF81F4F"/>
    <w:rsid w:val="7AF83CFD"/>
    <w:rsid w:val="7AF85A3A"/>
    <w:rsid w:val="7AFB2C7A"/>
    <w:rsid w:val="7AFE508C"/>
    <w:rsid w:val="7AFE6E3A"/>
    <w:rsid w:val="7B047578"/>
    <w:rsid w:val="7B05641A"/>
    <w:rsid w:val="7B073F40"/>
    <w:rsid w:val="7B09415C"/>
    <w:rsid w:val="7B0A57DF"/>
    <w:rsid w:val="7B0B5BD1"/>
    <w:rsid w:val="7B0D52CF"/>
    <w:rsid w:val="7B0E3521"/>
    <w:rsid w:val="7B0F54EB"/>
    <w:rsid w:val="7B1228E5"/>
    <w:rsid w:val="7B165747"/>
    <w:rsid w:val="7B18439F"/>
    <w:rsid w:val="7B1A261A"/>
    <w:rsid w:val="7B1B79EC"/>
    <w:rsid w:val="7B220D7A"/>
    <w:rsid w:val="7B29035B"/>
    <w:rsid w:val="7B290C9E"/>
    <w:rsid w:val="7B297438"/>
    <w:rsid w:val="7B2A5E81"/>
    <w:rsid w:val="7B2C7E4B"/>
    <w:rsid w:val="7B304515"/>
    <w:rsid w:val="7B310FBD"/>
    <w:rsid w:val="7B334D35"/>
    <w:rsid w:val="7B362A78"/>
    <w:rsid w:val="7B3867F0"/>
    <w:rsid w:val="7B3960C4"/>
    <w:rsid w:val="7B3A4316"/>
    <w:rsid w:val="7B3B62E0"/>
    <w:rsid w:val="7B3F6A8D"/>
    <w:rsid w:val="7B4056A4"/>
    <w:rsid w:val="7B430CF1"/>
    <w:rsid w:val="7B4927AB"/>
    <w:rsid w:val="7B4E7DC1"/>
    <w:rsid w:val="7B5353D8"/>
    <w:rsid w:val="7B5573A2"/>
    <w:rsid w:val="7B5761A4"/>
    <w:rsid w:val="7B5806B2"/>
    <w:rsid w:val="7B5B603A"/>
    <w:rsid w:val="7B5C52D6"/>
    <w:rsid w:val="7B5D0004"/>
    <w:rsid w:val="7B5D6256"/>
    <w:rsid w:val="7B6475E5"/>
    <w:rsid w:val="7B6A44CF"/>
    <w:rsid w:val="7B6E3FBF"/>
    <w:rsid w:val="7B705F89"/>
    <w:rsid w:val="7B71191C"/>
    <w:rsid w:val="7B752FA4"/>
    <w:rsid w:val="7B7B492E"/>
    <w:rsid w:val="7B7D06A6"/>
    <w:rsid w:val="7B803CF3"/>
    <w:rsid w:val="7B821819"/>
    <w:rsid w:val="7B8437E3"/>
    <w:rsid w:val="7B845591"/>
    <w:rsid w:val="7B874528"/>
    <w:rsid w:val="7B875081"/>
    <w:rsid w:val="7B8C2698"/>
    <w:rsid w:val="7B906FB7"/>
    <w:rsid w:val="7B930658"/>
    <w:rsid w:val="7B937ECA"/>
    <w:rsid w:val="7B95154C"/>
    <w:rsid w:val="7B9559F0"/>
    <w:rsid w:val="7B98728E"/>
    <w:rsid w:val="7B9B28DB"/>
    <w:rsid w:val="7B9D48A5"/>
    <w:rsid w:val="7BA14395"/>
    <w:rsid w:val="7BA2010D"/>
    <w:rsid w:val="7BA23C69"/>
    <w:rsid w:val="7BA45C33"/>
    <w:rsid w:val="7BA53398"/>
    <w:rsid w:val="7BA9149B"/>
    <w:rsid w:val="7BAD0F8C"/>
    <w:rsid w:val="7BAE260E"/>
    <w:rsid w:val="7BAE5749"/>
    <w:rsid w:val="7BAE6AB2"/>
    <w:rsid w:val="7BAE73BD"/>
    <w:rsid w:val="7BB06386"/>
    <w:rsid w:val="7BB10350"/>
    <w:rsid w:val="7BB73BB8"/>
    <w:rsid w:val="7BB8348D"/>
    <w:rsid w:val="7BBB4D2B"/>
    <w:rsid w:val="7BBD4F47"/>
    <w:rsid w:val="7BBD6CF5"/>
    <w:rsid w:val="7BC260B9"/>
    <w:rsid w:val="7BC62F91"/>
    <w:rsid w:val="7BC71689"/>
    <w:rsid w:val="7BC9409A"/>
    <w:rsid w:val="7BC97448"/>
    <w:rsid w:val="7BCD518A"/>
    <w:rsid w:val="7BD32074"/>
    <w:rsid w:val="7BDC717B"/>
    <w:rsid w:val="7BE10C35"/>
    <w:rsid w:val="7BE20360"/>
    <w:rsid w:val="7BE424D4"/>
    <w:rsid w:val="7BE60092"/>
    <w:rsid w:val="7BE61DA8"/>
    <w:rsid w:val="7BEB44B6"/>
    <w:rsid w:val="7BF85F7F"/>
    <w:rsid w:val="7BFA1CF7"/>
    <w:rsid w:val="7BFA5853"/>
    <w:rsid w:val="7BFE17E7"/>
    <w:rsid w:val="7BFF1417"/>
    <w:rsid w:val="7C016BE2"/>
    <w:rsid w:val="7C091F3A"/>
    <w:rsid w:val="7C0F7330"/>
    <w:rsid w:val="7C1032C9"/>
    <w:rsid w:val="7C125D37"/>
    <w:rsid w:val="7C127F87"/>
    <w:rsid w:val="7C133FBD"/>
    <w:rsid w:val="7C13614C"/>
    <w:rsid w:val="7C142DB9"/>
    <w:rsid w:val="7C1447C1"/>
    <w:rsid w:val="7C1508DF"/>
    <w:rsid w:val="7C155D5E"/>
    <w:rsid w:val="7C1728A9"/>
    <w:rsid w:val="7C1903CF"/>
    <w:rsid w:val="7C1A1A2B"/>
    <w:rsid w:val="7C2154D6"/>
    <w:rsid w:val="7C232FFC"/>
    <w:rsid w:val="7C241D44"/>
    <w:rsid w:val="7C28650F"/>
    <w:rsid w:val="7C29438A"/>
    <w:rsid w:val="7C2C24EC"/>
    <w:rsid w:val="7C2E2D54"/>
    <w:rsid w:val="7C31212E"/>
    <w:rsid w:val="7C3255AB"/>
    <w:rsid w:val="7C333DB9"/>
    <w:rsid w:val="7C345209"/>
    <w:rsid w:val="7C350F81"/>
    <w:rsid w:val="7C354ADD"/>
    <w:rsid w:val="7C370855"/>
    <w:rsid w:val="7C3A20F4"/>
    <w:rsid w:val="7C3C5E6C"/>
    <w:rsid w:val="7C407D3A"/>
    <w:rsid w:val="7C433AEA"/>
    <w:rsid w:val="7C435CA9"/>
    <w:rsid w:val="7C4A2BBC"/>
    <w:rsid w:val="7C4B4301"/>
    <w:rsid w:val="7C4F2043"/>
    <w:rsid w:val="7C501917"/>
    <w:rsid w:val="7C5533D1"/>
    <w:rsid w:val="7C572CA5"/>
    <w:rsid w:val="7C594C70"/>
    <w:rsid w:val="7C5D7BDC"/>
    <w:rsid w:val="7C5E06F2"/>
    <w:rsid w:val="7C6333F8"/>
    <w:rsid w:val="7C667453"/>
    <w:rsid w:val="7C677795"/>
    <w:rsid w:val="7C694787"/>
    <w:rsid w:val="7C6B6751"/>
    <w:rsid w:val="7C703D67"/>
    <w:rsid w:val="7C71055C"/>
    <w:rsid w:val="7C741AA9"/>
    <w:rsid w:val="7C75312C"/>
    <w:rsid w:val="7C78688F"/>
    <w:rsid w:val="7C7970C0"/>
    <w:rsid w:val="7C7E0232"/>
    <w:rsid w:val="7C7E1AF1"/>
    <w:rsid w:val="7C7E46D6"/>
    <w:rsid w:val="7C7E6484"/>
    <w:rsid w:val="7C8021FC"/>
    <w:rsid w:val="7C81665C"/>
    <w:rsid w:val="7C817D22"/>
    <w:rsid w:val="7C867510"/>
    <w:rsid w:val="7C8A4E29"/>
    <w:rsid w:val="7C8E41ED"/>
    <w:rsid w:val="7C920181"/>
    <w:rsid w:val="7C95557C"/>
    <w:rsid w:val="7C977546"/>
    <w:rsid w:val="7C991510"/>
    <w:rsid w:val="7CA0289E"/>
    <w:rsid w:val="7CA0464C"/>
    <w:rsid w:val="7CA13075"/>
    <w:rsid w:val="7CA13F21"/>
    <w:rsid w:val="7CA26617"/>
    <w:rsid w:val="7CA65135"/>
    <w:rsid w:val="7CA659DB"/>
    <w:rsid w:val="7CA81753"/>
    <w:rsid w:val="7CB11429"/>
    <w:rsid w:val="7CB32E3F"/>
    <w:rsid w:val="7CB3696D"/>
    <w:rsid w:val="7CB579CC"/>
    <w:rsid w:val="7CB63E70"/>
    <w:rsid w:val="7CB70A29"/>
    <w:rsid w:val="7CB73744"/>
    <w:rsid w:val="7CBC4E73"/>
    <w:rsid w:val="7CC06A9D"/>
    <w:rsid w:val="7CC12815"/>
    <w:rsid w:val="7CC145C3"/>
    <w:rsid w:val="7CC17459"/>
    <w:rsid w:val="7CC55E61"/>
    <w:rsid w:val="7CC61BD9"/>
    <w:rsid w:val="7CC83BA3"/>
    <w:rsid w:val="7CC85951"/>
    <w:rsid w:val="7CCA791B"/>
    <w:rsid w:val="7CCB71F0"/>
    <w:rsid w:val="7CCD11BA"/>
    <w:rsid w:val="7CCF0A8E"/>
    <w:rsid w:val="7CD2057E"/>
    <w:rsid w:val="7CD267D0"/>
    <w:rsid w:val="7CD51E1C"/>
    <w:rsid w:val="7CDB38D7"/>
    <w:rsid w:val="7CDC13FD"/>
    <w:rsid w:val="7CDE33C7"/>
    <w:rsid w:val="7CEA3B1A"/>
    <w:rsid w:val="7CEF1130"/>
    <w:rsid w:val="7CF01DBB"/>
    <w:rsid w:val="7CF14EA8"/>
    <w:rsid w:val="7CF16C56"/>
    <w:rsid w:val="7CF44998"/>
    <w:rsid w:val="7CF510C4"/>
    <w:rsid w:val="7CF6426C"/>
    <w:rsid w:val="7CF90201"/>
    <w:rsid w:val="7CF95B0B"/>
    <w:rsid w:val="7CFC55FB"/>
    <w:rsid w:val="7CFD384D"/>
    <w:rsid w:val="7D006E99"/>
    <w:rsid w:val="7D036989"/>
    <w:rsid w:val="7D083FA0"/>
    <w:rsid w:val="7D0B583E"/>
    <w:rsid w:val="7D0D6708"/>
    <w:rsid w:val="7D0D7808"/>
    <w:rsid w:val="7D0F532E"/>
    <w:rsid w:val="7D11554A"/>
    <w:rsid w:val="7D1312C2"/>
    <w:rsid w:val="7D133070"/>
    <w:rsid w:val="7D144827"/>
    <w:rsid w:val="7D162B61"/>
    <w:rsid w:val="7D1666BD"/>
    <w:rsid w:val="7D167147"/>
    <w:rsid w:val="7D1B3CD3"/>
    <w:rsid w:val="7D1E1A15"/>
    <w:rsid w:val="7D21376C"/>
    <w:rsid w:val="7D24431C"/>
    <w:rsid w:val="7D24527D"/>
    <w:rsid w:val="7D250FF6"/>
    <w:rsid w:val="7D254B52"/>
    <w:rsid w:val="7D311748"/>
    <w:rsid w:val="7D323461"/>
    <w:rsid w:val="7D341239"/>
    <w:rsid w:val="7D343309"/>
    <w:rsid w:val="7D3542A1"/>
    <w:rsid w:val="7D3552A1"/>
    <w:rsid w:val="7D3905FD"/>
    <w:rsid w:val="7D3923AB"/>
    <w:rsid w:val="7D3B6123"/>
    <w:rsid w:val="7D3D00ED"/>
    <w:rsid w:val="7D3D633F"/>
    <w:rsid w:val="7D3E3E65"/>
    <w:rsid w:val="7D3E79C1"/>
    <w:rsid w:val="7D40198C"/>
    <w:rsid w:val="7D427194"/>
    <w:rsid w:val="7D43322A"/>
    <w:rsid w:val="7D44147C"/>
    <w:rsid w:val="7D4476CE"/>
    <w:rsid w:val="7D4645FD"/>
    <w:rsid w:val="7D470F6C"/>
    <w:rsid w:val="7D472D1A"/>
    <w:rsid w:val="7D4A280A"/>
    <w:rsid w:val="7D4A45B8"/>
    <w:rsid w:val="7D4C01C7"/>
    <w:rsid w:val="7D4E40A8"/>
    <w:rsid w:val="7D4F3314"/>
    <w:rsid w:val="7D4F6073"/>
    <w:rsid w:val="7D4F7E21"/>
    <w:rsid w:val="7D5176F5"/>
    <w:rsid w:val="7D537911"/>
    <w:rsid w:val="7D545437"/>
    <w:rsid w:val="7D553689"/>
    <w:rsid w:val="7D580A83"/>
    <w:rsid w:val="7D60199E"/>
    <w:rsid w:val="7D610964"/>
    <w:rsid w:val="7D622331"/>
    <w:rsid w:val="7D6513F2"/>
    <w:rsid w:val="7D667F1E"/>
    <w:rsid w:val="7D6A4C5A"/>
    <w:rsid w:val="7D6C2781"/>
    <w:rsid w:val="7D6E474B"/>
    <w:rsid w:val="7D7004C3"/>
    <w:rsid w:val="7D7020D1"/>
    <w:rsid w:val="7D717D97"/>
    <w:rsid w:val="7D731D61"/>
    <w:rsid w:val="7D755AD9"/>
    <w:rsid w:val="7D781125"/>
    <w:rsid w:val="7D7A30EF"/>
    <w:rsid w:val="7D7B6E68"/>
    <w:rsid w:val="7D7D673C"/>
    <w:rsid w:val="7D807847"/>
    <w:rsid w:val="7D851A94"/>
    <w:rsid w:val="7D861F78"/>
    <w:rsid w:val="7D881663"/>
    <w:rsid w:val="7D8950E1"/>
    <w:rsid w:val="7D8B198E"/>
    <w:rsid w:val="7D8B41E0"/>
    <w:rsid w:val="7D8C2E23"/>
    <w:rsid w:val="7D9046C1"/>
    <w:rsid w:val="7D934831"/>
    <w:rsid w:val="7D935CBD"/>
    <w:rsid w:val="7D935F5F"/>
    <w:rsid w:val="7D937D0D"/>
    <w:rsid w:val="7D9817C8"/>
    <w:rsid w:val="7D99109C"/>
    <w:rsid w:val="7D9A5540"/>
    <w:rsid w:val="7D9B2D0E"/>
    <w:rsid w:val="7D9D6DDE"/>
    <w:rsid w:val="7DA4016C"/>
    <w:rsid w:val="7DA55C93"/>
    <w:rsid w:val="7DA63EE4"/>
    <w:rsid w:val="7DA77C5D"/>
    <w:rsid w:val="7DA912DF"/>
    <w:rsid w:val="7DAA5057"/>
    <w:rsid w:val="7DAB14FB"/>
    <w:rsid w:val="7DAC3B62"/>
    <w:rsid w:val="7DB54128"/>
    <w:rsid w:val="7DB67916"/>
    <w:rsid w:val="7DB94E07"/>
    <w:rsid w:val="7DC223A1"/>
    <w:rsid w:val="7DC26844"/>
    <w:rsid w:val="7DC91981"/>
    <w:rsid w:val="7DCB1DED"/>
    <w:rsid w:val="7DCE343B"/>
    <w:rsid w:val="7DD022C5"/>
    <w:rsid w:val="7DD65E4C"/>
    <w:rsid w:val="7DD75B87"/>
    <w:rsid w:val="7DD87E16"/>
    <w:rsid w:val="7DDA3B8E"/>
    <w:rsid w:val="7DDB16B4"/>
    <w:rsid w:val="7DDD367E"/>
    <w:rsid w:val="7DE06CCB"/>
    <w:rsid w:val="7DE61B99"/>
    <w:rsid w:val="7DEB18F7"/>
    <w:rsid w:val="7DEC566F"/>
    <w:rsid w:val="7DEE3196"/>
    <w:rsid w:val="7DEE7639"/>
    <w:rsid w:val="7DF12C86"/>
    <w:rsid w:val="7DF32EA2"/>
    <w:rsid w:val="7DF476AA"/>
    <w:rsid w:val="7DF764EE"/>
    <w:rsid w:val="7DFC7E2B"/>
    <w:rsid w:val="7E01111B"/>
    <w:rsid w:val="7E046E5D"/>
    <w:rsid w:val="7E07746E"/>
    <w:rsid w:val="7E094473"/>
    <w:rsid w:val="7E0B3D48"/>
    <w:rsid w:val="7E0C7AC0"/>
    <w:rsid w:val="7E1075B0"/>
    <w:rsid w:val="7E122B46"/>
    <w:rsid w:val="7E123328"/>
    <w:rsid w:val="7E1464A6"/>
    <w:rsid w:val="7E192908"/>
    <w:rsid w:val="7E1A042F"/>
    <w:rsid w:val="7E1C41A7"/>
    <w:rsid w:val="7E21356B"/>
    <w:rsid w:val="7E2412AD"/>
    <w:rsid w:val="7E24305B"/>
    <w:rsid w:val="7E262275"/>
    <w:rsid w:val="7E265025"/>
    <w:rsid w:val="7E2676D0"/>
    <w:rsid w:val="7E2748F9"/>
    <w:rsid w:val="7E2766A8"/>
    <w:rsid w:val="7E292420"/>
    <w:rsid w:val="7E3037AE"/>
    <w:rsid w:val="7E33329E"/>
    <w:rsid w:val="7E337838"/>
    <w:rsid w:val="7E34331A"/>
    <w:rsid w:val="7E350DC4"/>
    <w:rsid w:val="7E355268"/>
    <w:rsid w:val="7E372D8F"/>
    <w:rsid w:val="7E374B3D"/>
    <w:rsid w:val="7E374E0C"/>
    <w:rsid w:val="7E38629C"/>
    <w:rsid w:val="7E3A287F"/>
    <w:rsid w:val="7E3E361B"/>
    <w:rsid w:val="7E3F7E95"/>
    <w:rsid w:val="7E431733"/>
    <w:rsid w:val="7E461224"/>
    <w:rsid w:val="7E470AF8"/>
    <w:rsid w:val="7E492AC2"/>
    <w:rsid w:val="7E4C610E"/>
    <w:rsid w:val="7E4D25B2"/>
    <w:rsid w:val="7E4D4360"/>
    <w:rsid w:val="7E4F73AA"/>
    <w:rsid w:val="7E521C39"/>
    <w:rsid w:val="7E576F8D"/>
    <w:rsid w:val="7E582D05"/>
    <w:rsid w:val="7E584AB3"/>
    <w:rsid w:val="7E590F57"/>
    <w:rsid w:val="7E5C27F5"/>
    <w:rsid w:val="7E5D6D4D"/>
    <w:rsid w:val="7E5F63D8"/>
    <w:rsid w:val="7E635125"/>
    <w:rsid w:val="7E654A6D"/>
    <w:rsid w:val="7E6873EC"/>
    <w:rsid w:val="7E6B6EDC"/>
    <w:rsid w:val="7E6E42D6"/>
    <w:rsid w:val="7E7062A0"/>
    <w:rsid w:val="7E722019"/>
    <w:rsid w:val="7E723DC7"/>
    <w:rsid w:val="7E74200D"/>
    <w:rsid w:val="7E7A2C7B"/>
    <w:rsid w:val="7E7B6F9A"/>
    <w:rsid w:val="7E834226"/>
    <w:rsid w:val="7E8600D1"/>
    <w:rsid w:val="7E8B30DA"/>
    <w:rsid w:val="7E915BF8"/>
    <w:rsid w:val="7E926217"/>
    <w:rsid w:val="7E927FC5"/>
    <w:rsid w:val="7E991353"/>
    <w:rsid w:val="7E9957F7"/>
    <w:rsid w:val="7E9C0E44"/>
    <w:rsid w:val="7E9E4BBC"/>
    <w:rsid w:val="7EA0240B"/>
    <w:rsid w:val="7EA02BCE"/>
    <w:rsid w:val="7EA06B86"/>
    <w:rsid w:val="7EA1645A"/>
    <w:rsid w:val="7EA22277"/>
    <w:rsid w:val="7EA30424"/>
    <w:rsid w:val="7EA32075"/>
    <w:rsid w:val="7EA36676"/>
    <w:rsid w:val="7EB048EF"/>
    <w:rsid w:val="7EB20667"/>
    <w:rsid w:val="7EB42631"/>
    <w:rsid w:val="7EB4618D"/>
    <w:rsid w:val="7EBC14E6"/>
    <w:rsid w:val="7EC0254B"/>
    <w:rsid w:val="7EC14D4E"/>
    <w:rsid w:val="7EC53A6A"/>
    <w:rsid w:val="7EC63541"/>
    <w:rsid w:val="7ECA59B1"/>
    <w:rsid w:val="7ECB797B"/>
    <w:rsid w:val="7ECD05B8"/>
    <w:rsid w:val="7ECD2B3D"/>
    <w:rsid w:val="7ECD36F3"/>
    <w:rsid w:val="7ED4682F"/>
    <w:rsid w:val="7ED607F9"/>
    <w:rsid w:val="7ED625A7"/>
    <w:rsid w:val="7ED95BF4"/>
    <w:rsid w:val="7EDB5E10"/>
    <w:rsid w:val="7EDC1B88"/>
    <w:rsid w:val="7EDC3936"/>
    <w:rsid w:val="7EDE408A"/>
    <w:rsid w:val="7EE051D4"/>
    <w:rsid w:val="7EE10F4C"/>
    <w:rsid w:val="7EE12CFA"/>
    <w:rsid w:val="7EE60311"/>
    <w:rsid w:val="7EE747B5"/>
    <w:rsid w:val="7EE8052D"/>
    <w:rsid w:val="7EE822DB"/>
    <w:rsid w:val="7EEA7E01"/>
    <w:rsid w:val="7EEB3B79"/>
    <w:rsid w:val="7EED4B13"/>
    <w:rsid w:val="7EED5B43"/>
    <w:rsid w:val="7EF02F3D"/>
    <w:rsid w:val="7EF46ED2"/>
    <w:rsid w:val="7EF576D4"/>
    <w:rsid w:val="7EF70770"/>
    <w:rsid w:val="7EF90044"/>
    <w:rsid w:val="7EFC7B34"/>
    <w:rsid w:val="7F0215EE"/>
    <w:rsid w:val="7F033168"/>
    <w:rsid w:val="7F0548E1"/>
    <w:rsid w:val="7F055A88"/>
    <w:rsid w:val="7F062761"/>
    <w:rsid w:val="7F076C05"/>
    <w:rsid w:val="7F0A3FFF"/>
    <w:rsid w:val="7F0B7D77"/>
    <w:rsid w:val="7F0C421B"/>
    <w:rsid w:val="7F0D7F93"/>
    <w:rsid w:val="7F0E2B74"/>
    <w:rsid w:val="7F141322"/>
    <w:rsid w:val="7F1430D0"/>
    <w:rsid w:val="7F1629A4"/>
    <w:rsid w:val="7F166E48"/>
    <w:rsid w:val="7F196D80"/>
    <w:rsid w:val="7F1B620C"/>
    <w:rsid w:val="7F1C1F84"/>
    <w:rsid w:val="7F1D01D6"/>
    <w:rsid w:val="7F1E5CFC"/>
    <w:rsid w:val="7F250E39"/>
    <w:rsid w:val="7F286B7B"/>
    <w:rsid w:val="7F2D7CEE"/>
    <w:rsid w:val="7F3379FA"/>
    <w:rsid w:val="7F343772"/>
    <w:rsid w:val="7F345520"/>
    <w:rsid w:val="7F353426"/>
    <w:rsid w:val="7F364DF4"/>
    <w:rsid w:val="7F384B03"/>
    <w:rsid w:val="7F3B69BB"/>
    <w:rsid w:val="7F3D43D5"/>
    <w:rsid w:val="7F4503AC"/>
    <w:rsid w:val="7F4A6AF1"/>
    <w:rsid w:val="7F4E65E2"/>
    <w:rsid w:val="7F4F235A"/>
    <w:rsid w:val="7F511C2E"/>
    <w:rsid w:val="7F531E4A"/>
    <w:rsid w:val="7F590AE3"/>
    <w:rsid w:val="7F596D35"/>
    <w:rsid w:val="7F5B485B"/>
    <w:rsid w:val="7F606315"/>
    <w:rsid w:val="7F63254C"/>
    <w:rsid w:val="7F6C2F0C"/>
    <w:rsid w:val="7F6F47AA"/>
    <w:rsid w:val="7F704E35"/>
    <w:rsid w:val="7F705D99"/>
    <w:rsid w:val="7F71407E"/>
    <w:rsid w:val="7F73429A"/>
    <w:rsid w:val="7F741DC0"/>
    <w:rsid w:val="7F792F33"/>
    <w:rsid w:val="7F8518D8"/>
    <w:rsid w:val="7F853FCE"/>
    <w:rsid w:val="7F864848"/>
    <w:rsid w:val="7F8879F1"/>
    <w:rsid w:val="7F8A15E4"/>
    <w:rsid w:val="7F8B1A78"/>
    <w:rsid w:val="7F8C0EB8"/>
    <w:rsid w:val="7F8C2C66"/>
    <w:rsid w:val="7F937455"/>
    <w:rsid w:val="7F947D6D"/>
    <w:rsid w:val="7F957EA2"/>
    <w:rsid w:val="7F967F89"/>
    <w:rsid w:val="7F9935D5"/>
    <w:rsid w:val="7F9B559F"/>
    <w:rsid w:val="7F9B734D"/>
    <w:rsid w:val="7F9D30C5"/>
    <w:rsid w:val="7F9E2999"/>
    <w:rsid w:val="7FA418D8"/>
    <w:rsid w:val="7FA426A6"/>
    <w:rsid w:val="7FA56F7D"/>
    <w:rsid w:val="7FA73F44"/>
    <w:rsid w:val="7FA92784"/>
    <w:rsid w:val="7FA93818"/>
    <w:rsid w:val="7FB15F3A"/>
    <w:rsid w:val="7FB34697"/>
    <w:rsid w:val="7FB56661"/>
    <w:rsid w:val="7FBC4580"/>
    <w:rsid w:val="7FC05006"/>
    <w:rsid w:val="7FC20D7E"/>
    <w:rsid w:val="7FC44AF6"/>
    <w:rsid w:val="7FC9196B"/>
    <w:rsid w:val="7FC9210C"/>
    <w:rsid w:val="7FC95C68"/>
    <w:rsid w:val="7FCA6C3A"/>
    <w:rsid w:val="7FCD1603"/>
    <w:rsid w:val="7FCE13C8"/>
    <w:rsid w:val="7FD05249"/>
    <w:rsid w:val="7FD12D6F"/>
    <w:rsid w:val="7FD30895"/>
    <w:rsid w:val="7FD665D7"/>
    <w:rsid w:val="7FD8234F"/>
    <w:rsid w:val="7FDB599C"/>
    <w:rsid w:val="7FDD570F"/>
    <w:rsid w:val="7FE01204"/>
    <w:rsid w:val="7FE10597"/>
    <w:rsid w:val="7FE231CE"/>
    <w:rsid w:val="7FE40CF4"/>
    <w:rsid w:val="7FE44850"/>
    <w:rsid w:val="7FEC4FAE"/>
    <w:rsid w:val="7FEC5DFB"/>
    <w:rsid w:val="7FEE1037"/>
    <w:rsid w:val="7FF308BE"/>
    <w:rsid w:val="7FF60A27"/>
    <w:rsid w:val="7FF64583"/>
    <w:rsid w:val="7FF8654D"/>
    <w:rsid w:val="7FFA4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 w:cs="Times New Roman"/>
      <w:kern w:val="2"/>
      <w:sz w:val="21"/>
      <w:szCs w:val="24"/>
      <w:lang w:val="en-US" w:eastAsia="zh-CN" w:bidi="ar-SA"/>
    </w:rPr>
  </w:style>
  <w:style w:type="paragraph" w:styleId="2">
    <w:name w:val="heading 1"/>
    <w:basedOn w:val="1"/>
    <w:next w:val="1"/>
    <w:link w:val="42"/>
    <w:autoRedefine/>
    <w:qFormat/>
    <w:uiPriority w:val="0"/>
    <w:pPr>
      <w:keepNext/>
      <w:keepLines/>
      <w:spacing w:before="120" w:after="120"/>
      <w:jc w:val="center"/>
      <w:outlineLvl w:val="0"/>
    </w:pPr>
    <w:rPr>
      <w:b/>
      <w:kern w:val="44"/>
      <w:sz w:val="44"/>
    </w:rPr>
  </w:style>
  <w:style w:type="paragraph" w:styleId="3">
    <w:name w:val="heading 2"/>
    <w:basedOn w:val="1"/>
    <w:next w:val="1"/>
    <w:link w:val="43"/>
    <w:autoRedefine/>
    <w:qFormat/>
    <w:uiPriority w:val="0"/>
    <w:pPr>
      <w:keepNext/>
      <w:keepLines/>
      <w:spacing w:before="140" w:after="140" w:line="413" w:lineRule="auto"/>
      <w:jc w:val="center"/>
      <w:outlineLvl w:val="1"/>
    </w:pPr>
    <w:rPr>
      <w:rFonts w:ascii="Arial" w:hAnsi="Arial"/>
      <w:b/>
      <w:sz w:val="28"/>
    </w:rPr>
  </w:style>
  <w:style w:type="paragraph" w:styleId="4">
    <w:name w:val="heading 3"/>
    <w:basedOn w:val="1"/>
    <w:next w:val="1"/>
    <w:autoRedefine/>
    <w:qFormat/>
    <w:uiPriority w:val="0"/>
    <w:pPr>
      <w:widowControl/>
      <w:spacing w:before="50" w:beforeLines="50" w:after="50" w:afterLines="50"/>
      <w:ind w:left="200" w:leftChars="200"/>
      <w:jc w:val="left"/>
      <w:outlineLvl w:val="2"/>
    </w:pPr>
    <w:rPr>
      <w:rFonts w:cs="宋体"/>
      <w:b/>
      <w:bCs/>
      <w:kern w:val="0"/>
      <w:sz w:val="30"/>
      <w:szCs w:val="27"/>
    </w:rPr>
  </w:style>
  <w:style w:type="paragraph" w:styleId="5">
    <w:name w:val="heading 4"/>
    <w:basedOn w:val="1"/>
    <w:next w:val="1"/>
    <w:autoRedefine/>
    <w:qFormat/>
    <w:uiPriority w:val="0"/>
    <w:pPr>
      <w:keepNext/>
      <w:keepLines/>
      <w:outlineLvl w:val="3"/>
    </w:pPr>
    <w:rPr>
      <w:rFonts w:ascii="Arial" w:hAnsi="Arial" w:eastAsia="黑体"/>
      <w:bCs/>
      <w:kern w:val="0"/>
      <w:sz w:val="24"/>
      <w:szCs w:val="28"/>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unhideWhenUsed/>
    <w:qFormat/>
    <w:uiPriority w:val="99"/>
    <w:pPr>
      <w:widowControl w:val="0"/>
      <w:ind w:left="420" w:leftChars="200"/>
      <w:jc w:val="both"/>
    </w:pPr>
    <w:rPr>
      <w:rFonts w:ascii="Times New Roman" w:hAnsi="Times New Roman" w:cs="Times New Roman"/>
      <w:kern w:val="2"/>
      <w:szCs w:val="20"/>
    </w:rPr>
  </w:style>
  <w:style w:type="paragraph" w:styleId="7">
    <w:name w:val="Normal Indent"/>
    <w:basedOn w:val="1"/>
    <w:autoRedefine/>
    <w:unhideWhenUsed/>
    <w:qFormat/>
    <w:uiPriority w:val="99"/>
    <w:pPr>
      <w:ind w:firstLine="420" w:firstLineChars="200"/>
    </w:pPr>
    <w:rPr>
      <w:rFonts w:ascii="Calibri" w:hAnsi="Calibri" w:cs="Calibri"/>
      <w:szCs w:val="21"/>
    </w:rPr>
  </w:style>
  <w:style w:type="paragraph" w:styleId="8">
    <w:name w:val="Document Map"/>
    <w:basedOn w:val="1"/>
    <w:link w:val="44"/>
    <w:autoRedefine/>
    <w:qFormat/>
    <w:uiPriority w:val="0"/>
    <w:rPr>
      <w:rFonts w:ascii="宋体" w:eastAsia="宋体"/>
      <w:sz w:val="18"/>
      <w:szCs w:val="18"/>
    </w:rPr>
  </w:style>
  <w:style w:type="paragraph" w:styleId="9">
    <w:name w:val="annotation text"/>
    <w:basedOn w:val="1"/>
    <w:link w:val="45"/>
    <w:autoRedefine/>
    <w:unhideWhenUsed/>
    <w:qFormat/>
    <w:uiPriority w:val="99"/>
    <w:pPr>
      <w:jc w:val="left"/>
    </w:pPr>
  </w:style>
  <w:style w:type="paragraph" w:styleId="10">
    <w:name w:val="Body Text"/>
    <w:basedOn w:val="1"/>
    <w:autoRedefine/>
    <w:qFormat/>
    <w:uiPriority w:val="0"/>
    <w:pPr>
      <w:spacing w:after="120"/>
    </w:pPr>
  </w:style>
  <w:style w:type="paragraph" w:styleId="11">
    <w:name w:val="Body Text Indent"/>
    <w:basedOn w:val="1"/>
    <w:link w:val="46"/>
    <w:autoRedefine/>
    <w:qFormat/>
    <w:uiPriority w:val="99"/>
    <w:pPr>
      <w:spacing w:after="120"/>
      <w:ind w:left="420" w:leftChars="200"/>
    </w:pPr>
  </w:style>
  <w:style w:type="paragraph" w:styleId="12">
    <w:name w:val="Plain Text"/>
    <w:basedOn w:val="1"/>
    <w:autoRedefine/>
    <w:qFormat/>
    <w:uiPriority w:val="99"/>
    <w:rPr>
      <w:rFonts w:ascii="宋体" w:hAnsi="Courier New" w:cs="Courier New"/>
      <w:szCs w:val="21"/>
    </w:rPr>
  </w:style>
  <w:style w:type="paragraph" w:styleId="13">
    <w:name w:val="Date"/>
    <w:basedOn w:val="1"/>
    <w:next w:val="1"/>
    <w:qFormat/>
    <w:uiPriority w:val="0"/>
    <w:pPr>
      <w:ind w:left="100" w:leftChars="2500"/>
    </w:pPr>
    <w:rPr>
      <w:rFonts w:ascii="Calibri" w:hAnsi="Calibri"/>
    </w:rPr>
  </w:style>
  <w:style w:type="paragraph" w:styleId="14">
    <w:name w:val="Balloon Text"/>
    <w:basedOn w:val="1"/>
    <w:link w:val="47"/>
    <w:autoRedefine/>
    <w:qFormat/>
    <w:uiPriority w:val="0"/>
    <w:rPr>
      <w:sz w:val="18"/>
      <w:szCs w:val="18"/>
    </w:rPr>
  </w:style>
  <w:style w:type="paragraph" w:styleId="15">
    <w:name w:val="footer"/>
    <w:basedOn w:val="1"/>
    <w:link w:val="48"/>
    <w:autoRedefine/>
    <w:qFormat/>
    <w:uiPriority w:val="0"/>
    <w:pPr>
      <w:tabs>
        <w:tab w:val="center" w:pos="4153"/>
        <w:tab w:val="right" w:pos="8306"/>
      </w:tabs>
      <w:snapToGrid w:val="0"/>
      <w:jc w:val="left"/>
    </w:pPr>
    <w:rPr>
      <w:sz w:val="18"/>
    </w:rPr>
  </w:style>
  <w:style w:type="paragraph" w:styleId="1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autoRedefine/>
    <w:qFormat/>
    <w:uiPriority w:val="39"/>
  </w:style>
  <w:style w:type="paragraph" w:styleId="18">
    <w:name w:val="index 9"/>
    <w:basedOn w:val="1"/>
    <w:next w:val="1"/>
    <w:autoRedefine/>
    <w:unhideWhenUsed/>
    <w:qFormat/>
    <w:uiPriority w:val="99"/>
    <w:pPr>
      <w:ind w:left="3360"/>
    </w:pPr>
    <w:rPr>
      <w:rFonts w:ascii="Calibri" w:hAnsi="Calibri"/>
    </w:rPr>
  </w:style>
  <w:style w:type="paragraph" w:styleId="19">
    <w:name w:val="toc 2"/>
    <w:basedOn w:val="1"/>
    <w:next w:val="1"/>
    <w:autoRedefine/>
    <w:qFormat/>
    <w:uiPriority w:val="39"/>
    <w:pPr>
      <w:spacing w:before="158"/>
      <w:ind w:left="351"/>
    </w:pPr>
    <w:rPr>
      <w:sz w:val="24"/>
    </w:rPr>
  </w:style>
  <w:style w:type="paragraph" w:styleId="20">
    <w:name w:val="Body Text 2"/>
    <w:basedOn w:val="1"/>
    <w:autoRedefine/>
    <w:qFormat/>
    <w:uiPriority w:val="0"/>
    <w:pPr>
      <w:tabs>
        <w:tab w:val="left" w:pos="8208"/>
        <w:tab w:val="left" w:pos="9072"/>
      </w:tabs>
      <w:autoSpaceDE w:val="0"/>
      <w:autoSpaceDN w:val="0"/>
      <w:adjustRightInd w:val="0"/>
      <w:spacing w:line="360" w:lineRule="atLeast"/>
      <w:ind w:right="720"/>
      <w:textAlignment w:val="bottom"/>
    </w:pPr>
    <w:rPr>
      <w:rFonts w:ascii="Bookman Old Style" w:hAnsi="Bookman Old Style"/>
      <w:spacing w:val="-6"/>
      <w:kern w:val="0"/>
      <w:lang w:val="en-GB" w:eastAsia="en-GB"/>
    </w:rPr>
  </w:style>
  <w:style w:type="paragraph" w:styleId="21">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2">
    <w:name w:val="annotation subject"/>
    <w:basedOn w:val="9"/>
    <w:next w:val="9"/>
    <w:link w:val="49"/>
    <w:autoRedefine/>
    <w:qFormat/>
    <w:uiPriority w:val="0"/>
    <w:rPr>
      <w:b/>
      <w:bCs/>
    </w:rPr>
  </w:style>
  <w:style w:type="paragraph" w:styleId="23">
    <w:name w:val="Body Text First Indent"/>
    <w:basedOn w:val="10"/>
    <w:next w:val="1"/>
    <w:autoRedefine/>
    <w:qFormat/>
    <w:uiPriority w:val="0"/>
    <w:pPr>
      <w:spacing w:line="360" w:lineRule="auto"/>
      <w:ind w:firstLine="420"/>
    </w:pPr>
  </w:style>
  <w:style w:type="paragraph" w:styleId="24">
    <w:name w:val="Body Text First Indent 2"/>
    <w:basedOn w:val="11"/>
    <w:link w:val="50"/>
    <w:autoRedefine/>
    <w:qFormat/>
    <w:uiPriority w:val="99"/>
    <w:pPr>
      <w:ind w:firstLine="420" w:firstLineChars="200"/>
    </w:pPr>
  </w:style>
  <w:style w:type="table" w:styleId="26">
    <w:name w:val="Table Grid"/>
    <w:basedOn w:val="2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autoRedefine/>
    <w:qFormat/>
    <w:uiPriority w:val="0"/>
    <w:rPr>
      <w:b/>
    </w:rPr>
  </w:style>
  <w:style w:type="character" w:styleId="29">
    <w:name w:val="FollowedHyperlink"/>
    <w:autoRedefine/>
    <w:unhideWhenUsed/>
    <w:qFormat/>
    <w:uiPriority w:val="99"/>
    <w:rPr>
      <w:color w:val="954F72"/>
      <w:u w:val="single"/>
    </w:rPr>
  </w:style>
  <w:style w:type="character" w:styleId="30">
    <w:name w:val="Emphasis"/>
    <w:autoRedefine/>
    <w:qFormat/>
    <w:uiPriority w:val="0"/>
  </w:style>
  <w:style w:type="character" w:styleId="31">
    <w:name w:val="HTML Definition"/>
    <w:autoRedefine/>
    <w:qFormat/>
    <w:uiPriority w:val="0"/>
  </w:style>
  <w:style w:type="character" w:styleId="32">
    <w:name w:val="HTML Variable"/>
    <w:autoRedefine/>
    <w:qFormat/>
    <w:uiPriority w:val="0"/>
  </w:style>
  <w:style w:type="character" w:styleId="33">
    <w:name w:val="Hyperlink"/>
    <w:autoRedefine/>
    <w:qFormat/>
    <w:uiPriority w:val="99"/>
    <w:rPr>
      <w:color w:val="0033CC"/>
      <w:u w:val="single"/>
    </w:rPr>
  </w:style>
  <w:style w:type="character" w:styleId="34">
    <w:name w:val="HTML Code"/>
    <w:autoRedefine/>
    <w:qFormat/>
    <w:uiPriority w:val="0"/>
    <w:rPr>
      <w:rFonts w:ascii="Courier New" w:hAnsi="Courier New"/>
      <w:sz w:val="20"/>
    </w:rPr>
  </w:style>
  <w:style w:type="character" w:styleId="35">
    <w:name w:val="annotation reference"/>
    <w:autoRedefine/>
    <w:unhideWhenUsed/>
    <w:qFormat/>
    <w:uiPriority w:val="99"/>
    <w:rPr>
      <w:sz w:val="21"/>
      <w:szCs w:val="21"/>
    </w:rPr>
  </w:style>
  <w:style w:type="character" w:styleId="36">
    <w:name w:val="HTML Cite"/>
    <w:autoRedefine/>
    <w:qFormat/>
    <w:uiPriority w:val="0"/>
  </w:style>
  <w:style w:type="paragraph" w:customStyle="1" w:styleId="37">
    <w:name w:val="Default"/>
    <w:next w:val="38"/>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8">
    <w:name w:val="Char Char Char Char"/>
    <w:basedOn w:val="39"/>
    <w:qFormat/>
    <w:uiPriority w:val="0"/>
    <w:pPr>
      <w:spacing w:beforeLines="50" w:afterLines="50"/>
    </w:pPr>
    <w:rPr>
      <w:rFonts w:ascii="Tahoma" w:hAnsi="Tahoma"/>
      <w:sz w:val="24"/>
      <w:szCs w:val="20"/>
    </w:rPr>
  </w:style>
  <w:style w:type="paragraph" w:customStyle="1" w:styleId="39">
    <w:name w:val="Normal_0"/>
    <w:next w:val="37"/>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40">
    <w:name w:val="Style1"/>
    <w:basedOn w:val="1"/>
    <w:autoRedefine/>
    <w:qFormat/>
    <w:uiPriority w:val="0"/>
    <w:pPr>
      <w:widowControl/>
      <w:tabs>
        <w:tab w:val="left" w:pos="-720"/>
      </w:tabs>
      <w:spacing w:after="120"/>
    </w:pPr>
    <w:rPr>
      <w:spacing w:val="-3"/>
      <w:kern w:val="0"/>
      <w:sz w:val="24"/>
      <w:szCs w:val="20"/>
      <w:lang w:val="en-AU" w:eastAsia="en-US"/>
    </w:rPr>
  </w:style>
  <w:style w:type="paragraph" w:customStyle="1" w:styleId="41">
    <w:name w:val="List Paragraph1"/>
    <w:basedOn w:val="1"/>
    <w:autoRedefine/>
    <w:qFormat/>
    <w:uiPriority w:val="0"/>
    <w:rPr>
      <w:rFonts w:eastAsia="宋体"/>
      <w:szCs w:val="21"/>
    </w:rPr>
  </w:style>
  <w:style w:type="character" w:customStyle="1" w:styleId="42">
    <w:name w:val="标题 1 字符"/>
    <w:link w:val="2"/>
    <w:autoRedefine/>
    <w:qFormat/>
    <w:uiPriority w:val="0"/>
    <w:rPr>
      <w:rFonts w:ascii="Calibri" w:hAnsi="Calibri" w:eastAsia="仿宋" w:cs="Times New Roman"/>
      <w:b/>
      <w:kern w:val="44"/>
      <w:sz w:val="44"/>
      <w:szCs w:val="24"/>
    </w:rPr>
  </w:style>
  <w:style w:type="character" w:customStyle="1" w:styleId="43">
    <w:name w:val="标题 2 字符"/>
    <w:link w:val="3"/>
    <w:autoRedefine/>
    <w:qFormat/>
    <w:uiPriority w:val="0"/>
    <w:rPr>
      <w:rFonts w:ascii="Arial" w:hAnsi="Arial"/>
      <w:b/>
      <w:sz w:val="28"/>
    </w:rPr>
  </w:style>
  <w:style w:type="character" w:customStyle="1" w:styleId="44">
    <w:name w:val="文档结构图 字符"/>
    <w:link w:val="8"/>
    <w:autoRedefine/>
    <w:qFormat/>
    <w:uiPriority w:val="0"/>
    <w:rPr>
      <w:rFonts w:ascii="宋体" w:hAnsi="Calibri" w:cs="Times New Roman"/>
      <w:kern w:val="2"/>
      <w:sz w:val="18"/>
      <w:szCs w:val="18"/>
    </w:rPr>
  </w:style>
  <w:style w:type="character" w:customStyle="1" w:styleId="45">
    <w:name w:val="批注文字 字符"/>
    <w:link w:val="9"/>
    <w:autoRedefine/>
    <w:qFormat/>
    <w:uiPriority w:val="99"/>
    <w:rPr>
      <w:rFonts w:ascii="Calibri" w:hAnsi="Calibri" w:eastAsia="仿宋" w:cs="Times New Roman"/>
      <w:kern w:val="2"/>
      <w:sz w:val="21"/>
      <w:szCs w:val="24"/>
    </w:rPr>
  </w:style>
  <w:style w:type="character" w:customStyle="1" w:styleId="46">
    <w:name w:val="正文文本缩进 字符"/>
    <w:link w:val="11"/>
    <w:autoRedefine/>
    <w:qFormat/>
    <w:uiPriority w:val="99"/>
    <w:rPr>
      <w:rFonts w:eastAsia="仿宋"/>
      <w:kern w:val="2"/>
      <w:sz w:val="21"/>
      <w:szCs w:val="24"/>
    </w:rPr>
  </w:style>
  <w:style w:type="character" w:customStyle="1" w:styleId="47">
    <w:name w:val="批注框文本 字符"/>
    <w:link w:val="14"/>
    <w:autoRedefine/>
    <w:qFormat/>
    <w:uiPriority w:val="0"/>
    <w:rPr>
      <w:rFonts w:ascii="Calibri" w:hAnsi="Calibri" w:eastAsia="仿宋" w:cs="Times New Roman"/>
      <w:kern w:val="2"/>
      <w:sz w:val="18"/>
      <w:szCs w:val="18"/>
    </w:rPr>
  </w:style>
  <w:style w:type="character" w:customStyle="1" w:styleId="48">
    <w:name w:val="页脚 字符"/>
    <w:link w:val="15"/>
    <w:autoRedefine/>
    <w:qFormat/>
    <w:uiPriority w:val="0"/>
    <w:rPr>
      <w:rFonts w:eastAsia="仿宋"/>
      <w:kern w:val="2"/>
      <w:sz w:val="18"/>
      <w:szCs w:val="24"/>
    </w:rPr>
  </w:style>
  <w:style w:type="character" w:customStyle="1" w:styleId="49">
    <w:name w:val="批注主题 字符"/>
    <w:link w:val="22"/>
    <w:autoRedefine/>
    <w:qFormat/>
    <w:uiPriority w:val="0"/>
    <w:rPr>
      <w:rFonts w:ascii="Calibri" w:hAnsi="Calibri" w:eastAsia="仿宋" w:cs="Times New Roman"/>
      <w:b/>
      <w:bCs/>
      <w:kern w:val="2"/>
      <w:sz w:val="21"/>
      <w:szCs w:val="24"/>
    </w:rPr>
  </w:style>
  <w:style w:type="character" w:customStyle="1" w:styleId="50">
    <w:name w:val="正文首行缩进 2 字符"/>
    <w:link w:val="24"/>
    <w:autoRedefine/>
    <w:qFormat/>
    <w:uiPriority w:val="99"/>
    <w:rPr>
      <w:rFonts w:eastAsia="仿宋"/>
      <w:kern w:val="2"/>
      <w:sz w:val="21"/>
      <w:szCs w:val="24"/>
    </w:rPr>
  </w:style>
  <w:style w:type="character" w:customStyle="1" w:styleId="51">
    <w:name w:val="NormalCharacter"/>
    <w:autoRedefine/>
    <w:qFormat/>
    <w:uiPriority w:val="0"/>
    <w:rPr>
      <w:rFonts w:eastAsia="仿宋"/>
      <w:kern w:val="2"/>
      <w:sz w:val="21"/>
      <w:szCs w:val="24"/>
      <w:lang w:val="en-US" w:eastAsia="zh-CN" w:bidi="ar-SA"/>
    </w:rPr>
  </w:style>
  <w:style w:type="paragraph" w:styleId="52">
    <w:name w:val="List Paragraph"/>
    <w:basedOn w:val="1"/>
    <w:autoRedefine/>
    <w:qFormat/>
    <w:uiPriority w:val="34"/>
    <w:pPr>
      <w:ind w:firstLine="420" w:firstLineChars="200"/>
    </w:pPr>
  </w:style>
  <w:style w:type="paragraph" w:customStyle="1" w:styleId="53">
    <w:name w:val="样式1"/>
    <w:basedOn w:val="1"/>
    <w:autoRedefine/>
    <w:qFormat/>
    <w:uiPriority w:val="0"/>
    <w:pPr>
      <w:numPr>
        <w:ilvl w:val="0"/>
        <w:numId w:val="1"/>
      </w:numPr>
      <w:adjustRightInd w:val="0"/>
      <w:textAlignment w:val="baseline"/>
    </w:pPr>
    <w:rPr>
      <w:rFonts w:ascii="宋体" w:hAnsi="宋体"/>
      <w:kern w:val="0"/>
      <w:szCs w:val="21"/>
    </w:rPr>
  </w:style>
  <w:style w:type="paragraph" w:customStyle="1" w:styleId="54">
    <w:name w:val="样式H"/>
    <w:basedOn w:val="2"/>
    <w:next w:val="1"/>
    <w:autoRedefine/>
    <w:qFormat/>
    <w:uiPriority w:val="0"/>
    <w:pPr>
      <w:spacing w:before="100" w:line="500" w:lineRule="exact"/>
    </w:pPr>
  </w:style>
  <w:style w:type="paragraph" w:customStyle="1" w:styleId="55">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56">
    <w:name w:val="WPSOffice手动目录 1"/>
    <w:autoRedefine/>
    <w:qFormat/>
    <w:uiPriority w:val="0"/>
    <w:rPr>
      <w:rFonts w:ascii="Times New Roman" w:hAnsi="Times New Roman" w:eastAsia="宋体" w:cs="Times New Roman"/>
      <w:lang w:val="en-US" w:eastAsia="zh-CN" w:bidi="ar-SA"/>
    </w:rPr>
  </w:style>
  <w:style w:type="paragraph" w:customStyle="1" w:styleId="57">
    <w:name w:val="样式N"/>
    <w:basedOn w:val="54"/>
    <w:autoRedefine/>
    <w:qFormat/>
    <w:uiPriority w:val="0"/>
    <w:rPr>
      <w:sz w:val="30"/>
    </w:rPr>
  </w:style>
  <w:style w:type="paragraph" w:customStyle="1" w:styleId="58">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59">
    <w:name w:val="列出段落11"/>
    <w:basedOn w:val="1"/>
    <w:autoRedefine/>
    <w:qFormat/>
    <w:uiPriority w:val="34"/>
    <w:pPr>
      <w:ind w:firstLine="420" w:firstLineChars="200"/>
    </w:pPr>
    <w:rPr>
      <w:rFonts w:ascii="Calibri" w:hAnsi="Calibri" w:eastAsia="宋体"/>
      <w:szCs w:val="22"/>
      <w:lang w:val="zh-CN"/>
    </w:rPr>
  </w:style>
  <w:style w:type="paragraph" w:customStyle="1" w:styleId="6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61">
    <w:name w:val="font21"/>
    <w:basedOn w:val="27"/>
    <w:autoRedefine/>
    <w:qFormat/>
    <w:uiPriority w:val="0"/>
    <w:rPr>
      <w:rFonts w:hint="default" w:ascii="Arial" w:hAnsi="Arial" w:cs="Arial"/>
      <w:color w:val="000000"/>
      <w:sz w:val="32"/>
      <w:szCs w:val="32"/>
      <w:u w:val="none"/>
    </w:rPr>
  </w:style>
  <w:style w:type="character" w:customStyle="1" w:styleId="62">
    <w:name w:val="font51"/>
    <w:autoRedefine/>
    <w:qFormat/>
    <w:uiPriority w:val="0"/>
    <w:rPr>
      <w:rFonts w:hint="eastAsia" w:ascii="仿宋_GB2312" w:eastAsia="仿宋_GB2312"/>
      <w:color w:val="000000"/>
      <w:sz w:val="32"/>
      <w:szCs w:val="32"/>
      <w:u w:val="none"/>
    </w:rPr>
  </w:style>
  <w:style w:type="character" w:customStyle="1" w:styleId="63">
    <w:name w:val="font41"/>
    <w:autoRedefine/>
    <w:qFormat/>
    <w:uiPriority w:val="0"/>
    <w:rPr>
      <w:rFonts w:hint="eastAsia" w:ascii="宋体" w:hAnsi="宋体" w:eastAsia="宋体"/>
      <w:color w:val="000000"/>
      <w:sz w:val="32"/>
      <w:szCs w:val="32"/>
      <w:u w:val="none"/>
    </w:rPr>
  </w:style>
  <w:style w:type="character" w:customStyle="1" w:styleId="64">
    <w:name w:val="font01"/>
    <w:basedOn w:val="27"/>
    <w:autoRedefine/>
    <w:qFormat/>
    <w:uiPriority w:val="0"/>
    <w:rPr>
      <w:rFonts w:hint="eastAsia" w:ascii="宋体" w:hAnsi="宋体" w:eastAsia="宋体" w:cs="宋体"/>
      <w:color w:val="000000"/>
      <w:sz w:val="21"/>
      <w:szCs w:val="21"/>
      <w:u w:val="none"/>
    </w:rPr>
  </w:style>
  <w:style w:type="character" w:customStyle="1" w:styleId="65">
    <w:name w:val="font31"/>
    <w:autoRedefine/>
    <w:qFormat/>
    <w:uiPriority w:val="0"/>
    <w:rPr>
      <w:rFonts w:ascii="Calibri" w:hAnsi="Calibri" w:cs="Calibri"/>
      <w:color w:val="000000"/>
      <w:sz w:val="21"/>
      <w:szCs w:val="21"/>
      <w:u w:val="none"/>
    </w:rPr>
  </w:style>
  <w:style w:type="character" w:customStyle="1" w:styleId="66">
    <w:name w:val="hover5"/>
    <w:autoRedefine/>
    <w:qFormat/>
    <w:uiPriority w:val="0"/>
    <w:rPr>
      <w:color w:val="FF7B00"/>
    </w:rPr>
  </w:style>
  <w:style w:type="paragraph" w:customStyle="1" w:styleId="67">
    <w:name w:val="_Style 58"/>
    <w:autoRedefine/>
    <w:unhideWhenUsed/>
    <w:qFormat/>
    <w:uiPriority w:val="99"/>
    <w:rPr>
      <w:rFonts w:ascii="Times New Roman" w:hAnsi="Times New Roman" w:eastAsia="仿宋" w:cs="Times New Roman"/>
      <w:kern w:val="2"/>
      <w:sz w:val="21"/>
      <w:szCs w:val="24"/>
      <w:lang w:val="en-US" w:eastAsia="zh-CN" w:bidi="ar-SA"/>
    </w:rPr>
  </w:style>
  <w:style w:type="paragraph" w:customStyle="1" w:styleId="68">
    <w:name w:val="Normal_1_0"/>
    <w:basedOn w:val="1"/>
    <w:autoRedefine/>
    <w:qFormat/>
    <w:uiPriority w:val="0"/>
    <w:pPr>
      <w:widowControl/>
      <w:jc w:val="left"/>
    </w:pPr>
    <w:rPr>
      <w:rFonts w:eastAsia="宋体"/>
      <w:kern w:val="0"/>
      <w:sz w:val="24"/>
    </w:rPr>
  </w:style>
  <w:style w:type="character" w:customStyle="1" w:styleId="69">
    <w:name w:val="10"/>
    <w:autoRedefine/>
    <w:qFormat/>
    <w:uiPriority w:val="0"/>
    <w:rPr>
      <w:rFonts w:hint="default" w:ascii="Calibri" w:hAnsi="Calibri" w:cs="Calibri"/>
    </w:rPr>
  </w:style>
  <w:style w:type="paragraph" w:customStyle="1" w:styleId="70">
    <w:name w:val="Normal_0_3"/>
    <w:basedOn w:val="1"/>
    <w:autoRedefine/>
    <w:qFormat/>
    <w:uiPriority w:val="0"/>
    <w:pPr>
      <w:widowControl/>
      <w:jc w:val="left"/>
    </w:pPr>
    <w:rPr>
      <w:rFonts w:eastAsia="宋体"/>
      <w:kern w:val="0"/>
      <w:sz w:val="24"/>
    </w:rPr>
  </w:style>
  <w:style w:type="paragraph" w:customStyle="1" w:styleId="71">
    <w:name w:val="Table Paragraph"/>
    <w:basedOn w:val="1"/>
    <w:autoRedefine/>
    <w:qFormat/>
    <w:uiPriority w:val="1"/>
    <w:pPr>
      <w:autoSpaceDE w:val="0"/>
      <w:autoSpaceDN w:val="0"/>
      <w:jc w:val="left"/>
    </w:pPr>
    <w:rPr>
      <w:rFonts w:ascii="宋体" w:hAnsi="宋体" w:cs="宋体"/>
      <w:kern w:val="0"/>
      <w:sz w:val="22"/>
      <w:lang w:val="zh-CN" w:bidi="zh-CN"/>
    </w:rPr>
  </w:style>
  <w:style w:type="paragraph" w:customStyle="1" w:styleId="72">
    <w:name w:val="需求中星号项"/>
    <w:basedOn w:val="1"/>
    <w:link w:val="73"/>
    <w:autoRedefine/>
    <w:qFormat/>
    <w:uiPriority w:val="0"/>
    <w:pPr>
      <w:widowControl/>
      <w:adjustRightInd w:val="0"/>
      <w:snapToGrid w:val="0"/>
      <w:spacing w:line="288" w:lineRule="auto"/>
      <w:ind w:firstLine="210" w:firstLineChars="100"/>
      <w:jc w:val="left"/>
      <w:textAlignment w:val="center"/>
    </w:pPr>
    <w:rPr>
      <w:rFonts w:hint="eastAsia" w:ascii="仿宋_GB2312" w:hAnsi="仿宋_GB2312" w:eastAsia="仿宋_GB2312" w:cs="仿宋_GB2312"/>
      <w:szCs w:val="21"/>
    </w:rPr>
  </w:style>
  <w:style w:type="character" w:customStyle="1" w:styleId="73">
    <w:name w:val="需求中星号项 Char"/>
    <w:link w:val="72"/>
    <w:autoRedefine/>
    <w:qFormat/>
    <w:uiPriority w:val="0"/>
    <w:rPr>
      <w:rFonts w:hint="eastAsia" w:ascii="仿宋_GB2312" w:hAnsi="仿宋_GB2312" w:eastAsia="仿宋_GB2312" w:cs="仿宋_GB2312"/>
      <w:color w:val="auto"/>
      <w:szCs w:val="21"/>
    </w:rPr>
  </w:style>
  <w:style w:type="paragraph" w:customStyle="1" w:styleId="74">
    <w:name w:val="列出段落1"/>
    <w:basedOn w:val="1"/>
    <w:autoRedefine/>
    <w:qFormat/>
    <w:uiPriority w:val="34"/>
    <w:pPr>
      <w:ind w:firstLine="420" w:firstLineChars="200"/>
    </w:pPr>
  </w:style>
  <w:style w:type="paragraph" w:customStyle="1" w:styleId="75">
    <w:name w:val="Normal_6"/>
    <w:autoRedefine/>
    <w:qFormat/>
    <w:uiPriority w:val="0"/>
    <w:rPr>
      <w:rFonts w:ascii="Times New Roman" w:hAnsi="Times New Roman" w:eastAsia="Times New Roman" w:cs="Times New Roman"/>
      <w:sz w:val="24"/>
      <w:szCs w:val="24"/>
      <w:lang w:val="en-US" w:eastAsia="zh-CN" w:bidi="ar-SA"/>
    </w:rPr>
  </w:style>
  <w:style w:type="paragraph" w:customStyle="1" w:styleId="76">
    <w:name w:val="表 靠左"/>
    <w:basedOn w:val="77"/>
    <w:autoRedefine/>
    <w:qFormat/>
    <w:uiPriority w:val="0"/>
    <w:pPr>
      <w:jc w:val="left"/>
    </w:pPr>
    <w:rPr>
      <w:rFonts w:ascii="宋体" w:hAnsi="宋体"/>
    </w:rPr>
  </w:style>
  <w:style w:type="paragraph" w:customStyle="1" w:styleId="77">
    <w:name w:val="表"/>
    <w:basedOn w:val="1"/>
    <w:next w:val="1"/>
    <w:autoRedefine/>
    <w:qFormat/>
    <w:uiPriority w:val="7"/>
    <w:pPr>
      <w:jc w:val="center"/>
    </w:pPr>
    <w:rPr>
      <w:rFonts w:ascii="Calibri" w:hAnsi="Calibri"/>
    </w:rPr>
  </w:style>
  <w:style w:type="paragraph" w:customStyle="1" w:styleId="78">
    <w:name w:val="正文首行缩进 21"/>
    <w:basedOn w:val="11"/>
    <w:autoRedefine/>
    <w:qFormat/>
    <w:uiPriority w:val="0"/>
    <w:pPr>
      <w:spacing w:before="100" w:beforeAutospacing="1"/>
      <w:ind w:firstLine="420" w:firstLineChars="200"/>
    </w:pPr>
  </w:style>
  <w:style w:type="paragraph" w:customStyle="1" w:styleId="79">
    <w:name w:val="正文_2"/>
    <w:autoRedefine/>
    <w:qFormat/>
    <w:uiPriority w:val="0"/>
    <w:pPr>
      <w:widowControl w:val="0"/>
      <w:jc w:val="both"/>
    </w:pPr>
    <w:rPr>
      <w:rFonts w:ascii="Times New Roman" w:hAnsi="Times New Roman" w:eastAsia="宋体" w:cs="Times New Roman"/>
      <w:kern w:val="2"/>
      <w:sz w:val="21"/>
      <w:szCs w:val="22"/>
      <w:lang w:val="en-US" w:eastAsia="zh-CN" w:bidi="ar-SA"/>
    </w:rPr>
  </w:style>
  <w:style w:type="table" w:customStyle="1" w:styleId="80">
    <w:name w:val="Table Normal"/>
    <w:autoRedefine/>
    <w:semiHidden/>
    <w:unhideWhenUsed/>
    <w:qFormat/>
    <w:uiPriority w:val="0"/>
    <w:rPr>
      <w:rFonts w:ascii="Arial" w:hAnsi="Arial" w:cs="Arial"/>
      <w:kern w:val="0"/>
      <w:sz w:val="20"/>
      <w:szCs w:val="20"/>
    </w:rPr>
    <w:tblPr>
      <w:tblCellMar>
        <w:top w:w="0" w:type="dxa"/>
        <w:left w:w="0" w:type="dxa"/>
        <w:bottom w:w="0" w:type="dxa"/>
        <w:right w:w="0" w:type="dxa"/>
      </w:tblCellMar>
    </w:tblPr>
  </w:style>
  <w:style w:type="paragraph" w:customStyle="1" w:styleId="81">
    <w:name w:val="Table Text"/>
    <w:basedOn w:val="1"/>
    <w:semiHidden/>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header" Target="header5.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118</Pages>
  <Words>18068</Words>
  <Characters>19342</Characters>
  <Lines>451</Lines>
  <Paragraphs>127</Paragraphs>
  <TotalTime>5</TotalTime>
  <ScaleCrop>false</ScaleCrop>
  <LinksUpToDate>false</LinksUpToDate>
  <CharactersWithSpaces>19885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2023-05-31T07:45:00Z</dcterms:created>
  <dc:creator>meimei</dc:creator>
  <cp:lastModifiedBy>庚午恒</cp:lastModifiedBy>
  <cp:lastPrinted>2023-06-16T03:37:00Z</cp:lastPrinted>
  <dcterms:modified xsi:type="dcterms:W3CDTF">2025-01-09T03:20:22Z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B8C1068CAE4B45CD966C7CCC18C0E176_13</vt:lpwstr>
  </property>
  <property fmtid="{D5CDD505-2E9C-101B-9397-08002B2CF9AE}" pid="4" name="KSOTemplateDocerSaveRecord">
    <vt:lpwstr>eyJoZGlkIjoiNDVlZTAyNDBhNTY5YmU2MTY1MjU0NzU0ODBjYzQxNzYiLCJ1c2VySWQiOiIyOTcxMjYyMTQifQ==</vt:lpwstr>
  </property>
</Properties>
</file>