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附件二</w:t>
      </w:r>
    </w:p>
    <w:p/>
    <w:p>
      <w:pPr>
        <w:jc w:val="center"/>
      </w:pPr>
    </w:p>
    <w:p>
      <w:pPr>
        <w:jc w:val="center"/>
      </w:pPr>
      <w:r>
        <w:drawing>
          <wp:inline distT="0" distB="0" distL="0" distR="0">
            <wp:extent cx="2924175" cy="476250"/>
            <wp:effectExtent l="19050" t="0" r="9525" b="0"/>
            <wp:docPr id="1" name="图片 1" descr="西北师范大学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北师范大学副本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Lines="50" w:afterLines="50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硕士研究生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招生</w:t>
      </w:r>
      <w:r>
        <w:rPr>
          <w:rFonts w:hint="eastAsia" w:ascii="宋体" w:hAnsi="宋体"/>
          <w:b/>
          <w:sz w:val="44"/>
          <w:szCs w:val="44"/>
        </w:rPr>
        <w:t>考试</w:t>
      </w:r>
    </w:p>
    <w:p>
      <w:pPr>
        <w:spacing w:beforeLines="50" w:afterLines="50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《高级俄语》科目大纲</w:t>
      </w:r>
    </w:p>
    <w:p>
      <w:pPr>
        <w:spacing w:beforeLines="50" w:afterLines="50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（科目代码649）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/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ind w:firstLine="1120" w:firstLineChars="35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学院名称（盖章）：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外国语学院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color w:val="FFFFFF" w:themeColor="background1"/>
          <w:sz w:val="32"/>
          <w:szCs w:val="32"/>
          <w:u w:val="single"/>
          <w:lang w:val="en-US" w:eastAsia="zh-CN"/>
          <w14:textFill>
            <w14:solidFill>
              <w14:schemeClr w14:val="bg1"/>
            </w14:solidFill>
          </w14:textFill>
        </w:rPr>
        <w:t>个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</w:t>
      </w:r>
    </w:p>
    <w:p>
      <w:pPr>
        <w:ind w:firstLine="1064" w:firstLineChars="350"/>
        <w:rPr>
          <w:rFonts w:ascii="仿宋_GB2312" w:eastAsia="仿宋_GB2312"/>
          <w:w w:val="95"/>
          <w:sz w:val="32"/>
          <w:szCs w:val="32"/>
          <w:u w:val="single"/>
        </w:rPr>
      </w:pPr>
      <w:r>
        <w:rPr>
          <w:rFonts w:hint="eastAsia" w:ascii="仿宋_GB2312" w:eastAsia="仿宋_GB2312"/>
          <w:w w:val="95"/>
          <w:sz w:val="32"/>
          <w:szCs w:val="32"/>
        </w:rPr>
        <w:t>学院负责人（签字）：</w:t>
      </w:r>
      <w:r>
        <w:rPr>
          <w:rFonts w:hint="eastAsia" w:ascii="仿宋_GB2312" w:eastAsia="仿宋_GB2312"/>
          <w:w w:val="95"/>
          <w:sz w:val="32"/>
          <w:szCs w:val="32"/>
          <w:u w:val="single"/>
          <w:lang w:val="en-US" w:eastAsia="zh-CN"/>
        </w:rPr>
        <w:t xml:space="preserve">                       </w:t>
      </w:r>
      <w:r>
        <w:rPr>
          <w:rFonts w:hint="eastAsia" w:ascii="仿宋_GB2312" w:eastAsia="仿宋_GB2312"/>
          <w:color w:val="FFFFFF" w:themeColor="background1"/>
          <w:w w:val="95"/>
          <w:sz w:val="32"/>
          <w:szCs w:val="32"/>
          <w:u w:val="single"/>
          <w:lang w:val="en-US" w:eastAsia="zh-CN"/>
          <w14:textFill>
            <w14:solidFill>
              <w14:schemeClr w14:val="bg1"/>
            </w14:solidFill>
          </w14:textFill>
        </w:rPr>
        <w:t>个</w:t>
      </w:r>
      <w:r>
        <w:rPr>
          <w:rFonts w:hint="eastAsia" w:ascii="仿宋_GB2312" w:eastAsia="仿宋_GB2312"/>
          <w:w w:val="95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w w:val="95"/>
          <w:sz w:val="32"/>
          <w:szCs w:val="32"/>
          <w:u w:val="single"/>
        </w:rPr>
        <w:t xml:space="preserve">                      </w:t>
      </w:r>
    </w:p>
    <w:p>
      <w:pPr>
        <w:ind w:firstLine="1120" w:firstLineChars="35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编  制  时  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：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20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  <w:u w:val="single"/>
        </w:rPr>
        <w:t>年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u w:val="single"/>
        </w:rPr>
        <w:t>月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20日   </w:t>
      </w:r>
      <w:r>
        <w:rPr>
          <w:rFonts w:hint="eastAsia" w:ascii="仿宋_GB2312" w:eastAsia="仿宋_GB2312"/>
          <w:color w:val="FFFFFF" w:themeColor="background1"/>
          <w:sz w:val="32"/>
          <w:szCs w:val="32"/>
          <w:u w:val="single"/>
          <w:lang w:val="en-US" w:eastAsia="zh-CN"/>
          <w14:textFill>
            <w14:solidFill>
              <w14:schemeClr w14:val="bg1"/>
            </w14:solidFill>
          </w14:textFill>
        </w:rPr>
        <w:t>，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</w:p>
    <w:p>
      <w:pPr>
        <w:rPr>
          <w:rFonts w:ascii="仿宋_GB2312" w:eastAsia="仿宋_GB2312"/>
          <w:sz w:val="32"/>
          <w:szCs w:val="32"/>
        </w:rPr>
      </w:pPr>
      <w:r>
        <w:br w:type="page"/>
      </w:r>
    </w:p>
    <w:p>
      <w:pPr>
        <w:jc w:val="center"/>
        <w:rPr>
          <w:rFonts w:ascii="黑体" w:hAnsi="宋体" w:eastAsia="黑体" w:cs="宋体"/>
          <w:sz w:val="32"/>
          <w:szCs w:val="32"/>
        </w:rPr>
      </w:pPr>
      <w:r>
        <w:rPr>
          <w:rFonts w:hint="eastAsia" w:ascii="黑体" w:hAnsi="宋体" w:eastAsia="黑体" w:cs="宋体"/>
          <w:sz w:val="32"/>
          <w:szCs w:val="32"/>
        </w:rPr>
        <w:t>《高级俄语》科目大纲</w:t>
      </w:r>
    </w:p>
    <w:p>
      <w:pPr>
        <w:jc w:val="center"/>
        <w:rPr>
          <w:rFonts w:ascii="黑体" w:hAnsi="宋体" w:eastAsia="黑体" w:cs="宋体"/>
          <w:sz w:val="28"/>
          <w:szCs w:val="28"/>
        </w:rPr>
      </w:pPr>
      <w:r>
        <w:rPr>
          <w:rFonts w:hint="eastAsia" w:ascii="黑体" w:hAnsi="宋体" w:eastAsia="黑体" w:cs="宋体"/>
          <w:sz w:val="28"/>
          <w:szCs w:val="28"/>
        </w:rPr>
        <w:t>（科目代码649）</w:t>
      </w:r>
    </w:p>
    <w:p>
      <w:pPr>
        <w:jc w:val="center"/>
        <w:rPr>
          <w:rFonts w:ascii="黑体" w:hAnsi="宋体" w:eastAsia="黑体" w:cs="宋体"/>
          <w:sz w:val="28"/>
          <w:szCs w:val="28"/>
        </w:rPr>
      </w:pPr>
    </w:p>
    <w:p>
      <w:pPr>
        <w:widowControl w:val="0"/>
        <w:numPr>
          <w:ilvl w:val="0"/>
          <w:numId w:val="1"/>
        </w:numPr>
        <w:adjustRightInd/>
        <w:snapToGrid/>
        <w:spacing w:after="0" w:line="440" w:lineRule="exact"/>
        <w:ind w:left="482" w:hanging="482"/>
        <w:rPr>
          <w:rFonts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</w:rPr>
        <w:t>考核要求</w:t>
      </w:r>
    </w:p>
    <w:p>
      <w:pPr>
        <w:spacing w:after="0" w:line="440" w:lineRule="exact"/>
        <w:ind w:firstLine="420" w:firstLineChars="200"/>
        <w:rPr>
          <w:rFonts w:ascii="仿宋_GB2312" w:hAnsi="宋体" w:eastAsia="仿宋_GB2312" w:cs="宋体"/>
          <w:b/>
          <w:sz w:val="28"/>
          <w:szCs w:val="28"/>
        </w:rPr>
      </w:pPr>
      <w:r>
        <w:rPr>
          <w:rFonts w:hint="eastAsia" w:ascii="宋体" w:hAnsi="宋体" w:eastAsia="宋体" w:cs="宋体"/>
          <w:sz w:val="21"/>
          <w:szCs w:val="21"/>
        </w:rPr>
        <w:t>本课程主要考核考生对俄语语言知识的整体掌握情况。掌握8000俄语词汇，并且能够灵活运用，具备较强的读、写、译能力和分析问题的能力</w:t>
      </w:r>
      <w:r>
        <w:rPr>
          <w:rFonts w:hint="eastAsia" w:ascii="宋体" w:hAnsi="宋体" w:eastAsia="宋体"/>
          <w:color w:val="333333"/>
          <w:sz w:val="21"/>
          <w:szCs w:val="21"/>
        </w:rPr>
        <w:t>。</w:t>
      </w:r>
      <w:r>
        <w:rPr>
          <w:rFonts w:hint="eastAsia" w:ascii="宋体" w:hAnsi="宋体" w:eastAsia="宋体"/>
          <w:color w:val="333333"/>
          <w:sz w:val="21"/>
          <w:szCs w:val="21"/>
        </w:rPr>
        <w:br w:type="textWrapping"/>
      </w:r>
      <w:r>
        <w:rPr>
          <w:rFonts w:hint="eastAsia" w:ascii="仿宋_GB2312" w:hAnsi="宋体" w:eastAsia="仿宋_GB2312" w:cs="宋体"/>
          <w:b/>
          <w:sz w:val="28"/>
          <w:szCs w:val="28"/>
        </w:rPr>
        <w:t>二、考核评价目标</w:t>
      </w:r>
    </w:p>
    <w:p>
      <w:pPr>
        <w:spacing w:after="0" w:line="44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考核学生是否掌握基本词汇、语法、典型句式、固定搭配。考查学生的阅读理解能力、综合分析能力、归纳总结能力。</w:t>
      </w:r>
    </w:p>
    <w:p>
      <w:pPr>
        <w:pStyle w:val="12"/>
        <w:widowControl w:val="0"/>
        <w:numPr>
          <w:ilvl w:val="0"/>
          <w:numId w:val="2"/>
        </w:numPr>
        <w:adjustRightInd/>
        <w:snapToGrid/>
        <w:spacing w:after="0" w:line="440" w:lineRule="exact"/>
        <w:ind w:firstLineChars="0"/>
        <w:rPr>
          <w:rFonts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</w:rPr>
        <w:t>考核内容</w:t>
      </w:r>
    </w:p>
    <w:p>
      <w:pPr>
        <w:adjustRightInd/>
        <w:snapToGrid/>
        <w:spacing w:after="0" w:line="440" w:lineRule="exact"/>
        <w:ind w:firstLine="439" w:firstLineChars="208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1、语法和词汇</w:t>
      </w:r>
      <w:r>
        <w:rPr>
          <w:rFonts w:hint="eastAsia" w:ascii="宋体" w:hAnsi="宋体" w:eastAsia="宋体" w:cs="宋体"/>
          <w:b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词法和句法的基本知识，一些积极词汇的灵活运用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/>
          <w:bCs/>
          <w:sz w:val="21"/>
          <w:szCs w:val="21"/>
        </w:rPr>
        <w:t xml:space="preserve">    2、读的能力</w:t>
      </w:r>
      <w:r>
        <w:rPr>
          <w:rFonts w:hint="eastAsia" w:ascii="宋体" w:hAnsi="宋体" w:eastAsia="宋体" w:cs="宋体"/>
          <w:b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 xml:space="preserve">    借助构词法知识和上下文猜测生词含义，运用语法知识、掌握的背景知识，把握文章的段落大意、重要事实，找出所需的信息，进而准确领会文意。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/>
          <w:sz w:val="21"/>
          <w:szCs w:val="21"/>
        </w:rPr>
        <w:t xml:space="preserve">    3、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译的技能</w:t>
      </w:r>
      <w:r>
        <w:rPr>
          <w:rFonts w:hint="eastAsia" w:ascii="宋体" w:hAnsi="宋体" w:eastAsia="宋体" w:cs="宋体"/>
          <w:b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　　根据上下文确定词义、词义引伸、褒贬意味和其它某些俄语特有表达手段的处理方法，以及各种语体的修辞特点及在翻译中的处理。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/>
          <w:bCs/>
          <w:sz w:val="21"/>
          <w:szCs w:val="21"/>
        </w:rPr>
        <w:t xml:space="preserve">    4、写的能力</w:t>
      </w:r>
      <w:r>
        <w:rPr>
          <w:rFonts w:hint="eastAsia" w:ascii="宋体" w:hAnsi="宋体" w:eastAsia="宋体" w:cs="宋体"/>
          <w:b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　　规范书写，正确运用所学的积极词汇和句法结构，能够注意篇章的衔接与连贯，且主题明确，逻辑清晰。</w:t>
      </w:r>
    </w:p>
    <w:p>
      <w:pPr>
        <w:widowControl w:val="0"/>
        <w:numPr>
          <w:ilvl w:val="0"/>
          <w:numId w:val="2"/>
        </w:numPr>
        <w:adjustRightInd/>
        <w:snapToGrid/>
        <w:spacing w:after="0" w:line="440" w:lineRule="exact"/>
        <w:ind w:left="482" w:hanging="482"/>
        <w:rPr>
          <w:rFonts w:ascii="宋体" w:hAnsi="宋体" w:eastAsia="宋体" w:cs="宋体"/>
          <w:sz w:val="21"/>
          <w:szCs w:val="21"/>
        </w:rPr>
      </w:pPr>
      <w:r>
        <w:rPr>
          <w:rFonts w:hint="eastAsia" w:cs="宋体" w:asciiTheme="majorEastAsia" w:hAnsiTheme="majorEastAsia" w:eastAsiaTheme="majorEastAsia"/>
          <w:b/>
          <w:sz w:val="28"/>
          <w:szCs w:val="28"/>
        </w:rPr>
        <w:t>试卷结构</w:t>
      </w:r>
      <w:r>
        <w:rPr>
          <w:rFonts w:hint="eastAsia" w:cs="宋体" w:asciiTheme="majorEastAsia" w:hAnsiTheme="majorEastAsia" w:eastAsiaTheme="majorEastAsia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选择填空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阅读理解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完形填空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翻译</w:t>
      </w:r>
    </w:p>
    <w:p>
      <w:pPr>
        <w:adjustRightInd/>
        <w:snapToGrid/>
        <w:spacing w:after="0" w:line="44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1）汉翻俄</w:t>
      </w:r>
    </w:p>
    <w:p>
      <w:pPr>
        <w:adjustRightInd/>
        <w:snapToGrid/>
        <w:spacing w:after="0" w:line="44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2）俄翻汉</w:t>
      </w:r>
    </w:p>
    <w:p>
      <w:pPr>
        <w:adjustRightInd/>
        <w:snapToGrid/>
        <w:spacing w:after="0" w:line="44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改错</w:t>
      </w:r>
    </w:p>
    <w:p>
      <w:pPr>
        <w:adjustRightInd/>
        <w:snapToGrid/>
        <w:spacing w:after="0" w:line="44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根据材料论述观点</w:t>
      </w:r>
    </w:p>
    <w:p>
      <w:pPr>
        <w:widowControl w:val="0"/>
        <w:numPr>
          <w:ilvl w:val="0"/>
          <w:numId w:val="2"/>
        </w:numPr>
        <w:adjustRightInd/>
        <w:snapToGrid/>
        <w:spacing w:after="0" w:line="440" w:lineRule="exact"/>
        <w:ind w:left="482" w:hanging="482"/>
        <w:rPr>
          <w:rFonts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</w:rPr>
        <w:t>参考书目</w:t>
      </w:r>
    </w:p>
    <w:p>
      <w:pPr>
        <w:adjustRightInd/>
        <w:snapToGrid/>
        <w:spacing w:after="0" w:line="440" w:lineRule="exact"/>
        <w:ind w:firstLine="420" w:firstLineChars="200"/>
        <w:rPr>
          <w:rFonts w:ascii="仿宋_GB2312" w:hAnsi="宋体" w:eastAsia="仿宋_GB2312" w:cs="宋体"/>
          <w:sz w:val="21"/>
          <w:szCs w:val="21"/>
        </w:rPr>
      </w:pPr>
      <w:r>
        <w:rPr>
          <w:rFonts w:hint="eastAsia" w:ascii="仿宋_GB2312" w:hAnsi="宋体" w:eastAsia="仿宋_GB2312" w:cs="宋体"/>
          <w:sz w:val="21"/>
          <w:szCs w:val="21"/>
        </w:rPr>
        <w:t>《大学俄语》（东方）（新版）（1-8册），北外俄语学院，外语教学与研究出版社（2012版）</w:t>
      </w:r>
      <w:r>
        <w:rPr>
          <w:rFonts w:hint="eastAsia" w:ascii="仿宋_GB2312" w:hAnsi="宋体" w:eastAsia="仿宋_GB2312" w:cs="宋体"/>
          <w:sz w:val="21"/>
          <w:szCs w:val="21"/>
        </w:rPr>
        <w:br w:type="textWrapping"/>
      </w:r>
    </w:p>
    <w:p>
      <w:pPr>
        <w:pStyle w:val="5"/>
        <w:spacing w:line="450" w:lineRule="atLeast"/>
        <w:jc w:val="both"/>
        <w:rPr>
          <w:color w:val="333333"/>
        </w:rPr>
      </w:pPr>
    </w:p>
    <w:p>
      <w:pPr>
        <w:spacing w:line="220" w:lineRule="atLeast"/>
      </w:pPr>
    </w:p>
    <w:sectPr>
      <w:footerReference r:id="rId5" w:type="default"/>
      <w:pgSz w:w="11906" w:h="16838"/>
      <w:pgMar w:top="1440" w:right="1558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6196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365258"/>
    <w:multiLevelType w:val="multilevel"/>
    <w:tmpl w:val="0B365258"/>
    <w:lvl w:ilvl="0" w:tentative="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0B25552"/>
    <w:multiLevelType w:val="multilevel"/>
    <w:tmpl w:val="60B25552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67D51"/>
    <w:rsid w:val="00081C3B"/>
    <w:rsid w:val="00103EE2"/>
    <w:rsid w:val="001727CD"/>
    <w:rsid w:val="001D00D7"/>
    <w:rsid w:val="00214D46"/>
    <w:rsid w:val="0024484F"/>
    <w:rsid w:val="002F6A19"/>
    <w:rsid w:val="00323B43"/>
    <w:rsid w:val="003D37D8"/>
    <w:rsid w:val="00426133"/>
    <w:rsid w:val="004358AB"/>
    <w:rsid w:val="004A3E60"/>
    <w:rsid w:val="00534C90"/>
    <w:rsid w:val="00570491"/>
    <w:rsid w:val="005762B9"/>
    <w:rsid w:val="006467C2"/>
    <w:rsid w:val="0068054B"/>
    <w:rsid w:val="006A02B8"/>
    <w:rsid w:val="006F5A02"/>
    <w:rsid w:val="007351F3"/>
    <w:rsid w:val="0075536D"/>
    <w:rsid w:val="00783BE5"/>
    <w:rsid w:val="00864C30"/>
    <w:rsid w:val="008B7726"/>
    <w:rsid w:val="00930708"/>
    <w:rsid w:val="0097062A"/>
    <w:rsid w:val="009726FD"/>
    <w:rsid w:val="009D0538"/>
    <w:rsid w:val="009D400E"/>
    <w:rsid w:val="00A310A4"/>
    <w:rsid w:val="00A32187"/>
    <w:rsid w:val="00AC1F07"/>
    <w:rsid w:val="00B04EB2"/>
    <w:rsid w:val="00B632D8"/>
    <w:rsid w:val="00B92C52"/>
    <w:rsid w:val="00BF1A8F"/>
    <w:rsid w:val="00CB675D"/>
    <w:rsid w:val="00CC42C9"/>
    <w:rsid w:val="00CD1171"/>
    <w:rsid w:val="00CE0DAF"/>
    <w:rsid w:val="00D05D4D"/>
    <w:rsid w:val="00D31D50"/>
    <w:rsid w:val="00D36C4E"/>
    <w:rsid w:val="00D52C13"/>
    <w:rsid w:val="00DA54E5"/>
    <w:rsid w:val="00DD63E0"/>
    <w:rsid w:val="00DE0297"/>
    <w:rsid w:val="00DE6BCF"/>
    <w:rsid w:val="00E16D6D"/>
    <w:rsid w:val="00EA7EF3"/>
    <w:rsid w:val="00EF093D"/>
    <w:rsid w:val="00F15002"/>
    <w:rsid w:val="00F93580"/>
    <w:rsid w:val="00FD604C"/>
    <w:rsid w:val="4F9F295C"/>
    <w:rsid w:val="509C1818"/>
    <w:rsid w:val="65D80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7"/>
    <w:link w:val="3"/>
    <w:uiPriority w:val="99"/>
    <w:rPr>
      <w:rFonts w:ascii="Tahoma" w:hAnsi="Tahoma"/>
      <w:sz w:val="18"/>
      <w:szCs w:val="18"/>
    </w:rPr>
  </w:style>
  <w:style w:type="character" w:customStyle="1" w:styleId="11">
    <w:name w:val="批注框文本 Char"/>
    <w:basedOn w:val="7"/>
    <w:link w:val="2"/>
    <w:semiHidden/>
    <w:uiPriority w:val="99"/>
    <w:rPr>
      <w:rFonts w:ascii="Tahoma" w:hAnsi="Tahoma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98</Words>
  <Characters>561</Characters>
  <Lines>4</Lines>
  <Paragraphs>1</Paragraphs>
  <TotalTime>73</TotalTime>
  <ScaleCrop>false</ScaleCrop>
  <LinksUpToDate>false</LinksUpToDate>
  <CharactersWithSpaces>658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2022-06-29T07:47:21Z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6C275E728B294ABD96260F684049AC92</vt:lpwstr>
  </property>
</Properties>
</file>