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56" w:beforeLines="50" w:after="156" w:afterLines="50" w:line="360" w:lineRule="auto"/>
        <w:outlineLvl w:val="0"/>
        <w:rPr>
          <w:rFonts w:ascii="Arial" w:hAnsi="Arial" w:cs="Arial"/>
          <w:b/>
          <w:bCs/>
          <w:kern w:val="44"/>
          <w:sz w:val="24"/>
        </w:rPr>
      </w:pPr>
      <w:bookmarkStart w:id="0" w:name="_Toc114241663"/>
      <w:r>
        <w:rPr>
          <w:rFonts w:hint="eastAsia" w:ascii="Arial" w:hAnsi="Arial" w:cs="Arial"/>
          <w:b/>
          <w:bCs/>
          <w:kern w:val="44"/>
          <w:sz w:val="24"/>
        </w:rPr>
        <w:t>一、</w:t>
      </w:r>
      <w:r>
        <w:rPr>
          <w:rFonts w:ascii="Arial" w:hAnsi="Arial" w:cs="Arial"/>
          <w:b/>
          <w:bCs/>
          <w:kern w:val="44"/>
          <w:sz w:val="24"/>
        </w:rPr>
        <w:t>项目背景</w:t>
      </w:r>
      <w:bookmarkEnd w:id="0"/>
    </w:p>
    <w:p>
      <w:pPr>
        <w:spacing w:line="360" w:lineRule="auto"/>
        <w:ind w:firstLine="480" w:firstLineChars="200"/>
        <w:rPr>
          <w:rFonts w:ascii="Arial" w:hAnsi="Arial" w:cs="Arial"/>
          <w:bCs/>
          <w:sz w:val="24"/>
        </w:rPr>
      </w:pPr>
      <w:r>
        <w:rPr>
          <w:rFonts w:ascii="Arial" w:hAnsi="Arial" w:cs="Arial"/>
          <w:bCs/>
          <w:sz w:val="24"/>
        </w:rPr>
        <w:t>为了促进专利信息的传播，并满足国际数据交换的需求，需将中国专利的发明公</w:t>
      </w:r>
      <w:r>
        <w:rPr>
          <w:rFonts w:hint="eastAsia" w:ascii="Arial" w:hAnsi="Arial" w:cs="Arial"/>
          <w:bCs/>
          <w:sz w:val="24"/>
        </w:rPr>
        <w:t>布</w:t>
      </w:r>
      <w:r>
        <w:rPr>
          <w:rFonts w:ascii="Arial" w:hAnsi="Arial" w:cs="Arial"/>
          <w:bCs/>
          <w:sz w:val="24"/>
        </w:rPr>
        <w:t>、实用新型授权的部分著录项目和摘要翻译成英文，并制作符合相关标准的XML格式数据，用于国际数据交换。</w:t>
      </w:r>
    </w:p>
    <w:p>
      <w:pPr>
        <w:spacing w:line="360" w:lineRule="auto"/>
        <w:ind w:firstLine="480" w:firstLineChars="200"/>
        <w:rPr>
          <w:rFonts w:ascii="Arial" w:hAnsi="Arial" w:cs="Arial"/>
          <w:bCs/>
          <w:sz w:val="24"/>
        </w:rPr>
      </w:pPr>
      <w:r>
        <w:rPr>
          <w:rFonts w:ascii="Arial" w:hAnsi="Arial" w:cs="Arial"/>
          <w:bCs/>
          <w:sz w:val="24"/>
        </w:rPr>
        <w:t>为支撑我局专利审查业务工作，需将部分经筛选的外文</w:t>
      </w:r>
      <w:r>
        <w:rPr>
          <w:rFonts w:hint="eastAsia" w:ascii="Arial" w:hAnsi="Arial" w:cs="Arial"/>
          <w:bCs/>
          <w:sz w:val="24"/>
        </w:rPr>
        <w:t>专利</w:t>
      </w:r>
      <w:r>
        <w:rPr>
          <w:rFonts w:ascii="Arial" w:hAnsi="Arial" w:cs="Arial"/>
          <w:bCs/>
          <w:sz w:val="24"/>
        </w:rPr>
        <w:t>文献翻译成中文，用于</w:t>
      </w:r>
      <w:r>
        <w:rPr>
          <w:rFonts w:hint="eastAsia" w:ascii="Arial" w:hAnsi="Arial" w:cs="Arial"/>
          <w:bCs/>
          <w:sz w:val="24"/>
        </w:rPr>
        <w:t>中国专利智能审查和检索</w:t>
      </w:r>
      <w:r>
        <w:rPr>
          <w:rFonts w:ascii="Arial" w:hAnsi="Arial" w:cs="Arial"/>
          <w:bCs/>
          <w:sz w:val="24"/>
        </w:rPr>
        <w:t>系统。</w:t>
      </w:r>
    </w:p>
    <w:p>
      <w:pPr>
        <w:keepNext/>
        <w:keepLines/>
        <w:spacing w:before="156" w:beforeLines="50" w:after="156" w:afterLines="50" w:line="360" w:lineRule="auto"/>
        <w:outlineLvl w:val="0"/>
        <w:rPr>
          <w:rFonts w:ascii="Arial" w:hAnsi="Arial" w:cs="Arial"/>
          <w:b/>
          <w:bCs/>
          <w:kern w:val="44"/>
          <w:sz w:val="24"/>
        </w:rPr>
      </w:pPr>
      <w:bookmarkStart w:id="1" w:name="_Toc114241664"/>
      <w:r>
        <w:rPr>
          <w:rFonts w:hint="eastAsia" w:ascii="Arial" w:hAnsi="Arial" w:cs="Arial"/>
          <w:b/>
          <w:bCs/>
          <w:kern w:val="44"/>
          <w:sz w:val="24"/>
        </w:rPr>
        <w:t>二、</w:t>
      </w:r>
      <w:r>
        <w:rPr>
          <w:rFonts w:ascii="Arial" w:hAnsi="Arial" w:cs="Arial"/>
          <w:b/>
          <w:bCs/>
          <w:kern w:val="44"/>
          <w:sz w:val="24"/>
        </w:rPr>
        <w:t>项目目标</w:t>
      </w:r>
      <w:bookmarkEnd w:id="1"/>
    </w:p>
    <w:p>
      <w:pPr>
        <w:spacing w:line="360" w:lineRule="auto"/>
        <w:ind w:firstLine="480" w:firstLineChars="200"/>
        <w:rPr>
          <w:rFonts w:ascii="Arial" w:hAnsi="Arial" w:cs="Arial"/>
          <w:bCs/>
          <w:sz w:val="24"/>
        </w:rPr>
      </w:pPr>
      <w:r>
        <w:rPr>
          <w:rFonts w:ascii="Arial" w:hAnsi="Arial" w:cs="Arial"/>
          <w:bCs/>
          <w:sz w:val="24"/>
        </w:rPr>
        <w:t>按照招标人要求，将中国专利的发明公</w:t>
      </w:r>
      <w:r>
        <w:rPr>
          <w:rFonts w:hint="eastAsia" w:ascii="Arial" w:hAnsi="Arial" w:cs="Arial"/>
          <w:bCs/>
          <w:sz w:val="24"/>
        </w:rPr>
        <w:t>布</w:t>
      </w:r>
      <w:r>
        <w:rPr>
          <w:rFonts w:ascii="Arial" w:hAnsi="Arial" w:cs="Arial"/>
          <w:bCs/>
          <w:sz w:val="24"/>
        </w:rPr>
        <w:t>和实用新型授权的部分著录项目和摘要翻译成英文，并制作符合相关标准的XML格式数据</w:t>
      </w:r>
      <w:r>
        <w:rPr>
          <w:rFonts w:hint="eastAsia" w:ascii="Arial" w:hAnsi="Arial" w:cs="Arial"/>
          <w:bCs/>
          <w:sz w:val="24"/>
        </w:rPr>
        <w:t>；</w:t>
      </w:r>
      <w:r>
        <w:rPr>
          <w:rFonts w:ascii="Arial" w:hAnsi="Arial" w:cs="Arial"/>
          <w:bCs/>
          <w:sz w:val="24"/>
        </w:rPr>
        <w:t>将部分经筛选的外文</w:t>
      </w:r>
      <w:r>
        <w:rPr>
          <w:rFonts w:hint="eastAsia" w:ascii="Arial" w:hAnsi="Arial" w:cs="Arial"/>
          <w:bCs/>
          <w:sz w:val="24"/>
        </w:rPr>
        <w:t>专利</w:t>
      </w:r>
      <w:r>
        <w:rPr>
          <w:rFonts w:ascii="Arial" w:hAnsi="Arial" w:cs="Arial"/>
          <w:bCs/>
          <w:sz w:val="24"/>
        </w:rPr>
        <w:t>文献数据翻译成中文，确保数据的数量和质量，保证数据及时交付，满足</w:t>
      </w:r>
      <w:r>
        <w:rPr>
          <w:rFonts w:hint="eastAsia" w:ascii="Arial" w:hAnsi="Arial" w:cs="Arial"/>
          <w:bCs/>
          <w:sz w:val="24"/>
        </w:rPr>
        <w:t>各类数据应用需要</w:t>
      </w:r>
      <w:r>
        <w:rPr>
          <w:rFonts w:ascii="Arial" w:hAnsi="Arial" w:cs="Arial"/>
          <w:bCs/>
          <w:sz w:val="24"/>
        </w:rPr>
        <w:t>。</w:t>
      </w:r>
    </w:p>
    <w:p>
      <w:pPr>
        <w:keepNext/>
        <w:keepLines/>
        <w:spacing w:before="156" w:beforeLines="50" w:after="156" w:afterLines="50" w:line="360" w:lineRule="auto"/>
        <w:outlineLvl w:val="0"/>
        <w:rPr>
          <w:rFonts w:ascii="Arial" w:hAnsi="Arial" w:cs="Arial"/>
          <w:b/>
          <w:bCs/>
          <w:kern w:val="44"/>
          <w:sz w:val="24"/>
        </w:rPr>
      </w:pPr>
      <w:bookmarkStart w:id="2" w:name="_Toc114241665"/>
      <w:r>
        <w:rPr>
          <w:rFonts w:hint="eastAsia" w:ascii="Arial" w:hAnsi="Arial" w:cs="Arial"/>
          <w:b/>
          <w:bCs/>
          <w:kern w:val="44"/>
          <w:sz w:val="24"/>
        </w:rPr>
        <w:t>三、</w:t>
      </w:r>
      <w:r>
        <w:rPr>
          <w:rFonts w:ascii="Arial" w:hAnsi="Arial" w:cs="Arial"/>
          <w:b/>
          <w:bCs/>
          <w:kern w:val="44"/>
          <w:sz w:val="24"/>
        </w:rPr>
        <w:t>项目需求</w:t>
      </w:r>
      <w:bookmarkEnd w:id="2"/>
    </w:p>
    <w:p>
      <w:pPr>
        <w:keepNext/>
        <w:keepLines/>
        <w:spacing w:before="260" w:after="260" w:line="360" w:lineRule="auto"/>
        <w:outlineLvl w:val="1"/>
        <w:rPr>
          <w:rFonts w:ascii="Arial" w:hAnsi="Arial" w:cs="Arial"/>
          <w:b/>
          <w:sz w:val="24"/>
        </w:rPr>
      </w:pPr>
      <w:r>
        <w:rPr>
          <w:rFonts w:ascii="Arial" w:hAnsi="Arial" w:cs="Arial"/>
          <w:b/>
          <w:bCs/>
          <w:sz w:val="24"/>
        </w:rPr>
        <w:t>3.1 项目应遵循的标准</w:t>
      </w:r>
    </w:p>
    <w:p>
      <w:pPr>
        <w:spacing w:line="360" w:lineRule="auto"/>
        <w:ind w:firstLine="480" w:firstLineChars="200"/>
        <w:rPr>
          <w:rFonts w:ascii="Arial" w:hAnsi="Arial" w:cs="Arial"/>
          <w:bCs/>
          <w:sz w:val="24"/>
        </w:rPr>
      </w:pPr>
      <w:r>
        <w:rPr>
          <w:rFonts w:ascii="Arial" w:hAnsi="Arial" w:cs="Arial"/>
          <w:bCs/>
          <w:sz w:val="24"/>
        </w:rPr>
        <w:t>3.1.1 中华人民共和国教育部国家语言文字工作委员会－《机器翻译系统评测规范（GF2006）》；</w:t>
      </w:r>
    </w:p>
    <w:p>
      <w:pPr>
        <w:spacing w:line="360" w:lineRule="auto"/>
        <w:ind w:firstLine="480" w:firstLineChars="200"/>
        <w:rPr>
          <w:rFonts w:ascii="Arial" w:hAnsi="Arial" w:cs="Arial"/>
          <w:bCs/>
          <w:sz w:val="24"/>
        </w:rPr>
      </w:pPr>
      <w:r>
        <w:rPr>
          <w:rFonts w:ascii="Arial" w:hAnsi="Arial" w:cs="Arial"/>
          <w:bCs/>
          <w:sz w:val="24"/>
        </w:rPr>
        <w:t>3.1.</w:t>
      </w:r>
      <w:r>
        <w:rPr>
          <w:rFonts w:hint="eastAsia" w:ascii="Arial" w:hAnsi="Arial" w:cs="Arial"/>
          <w:bCs/>
          <w:sz w:val="24"/>
        </w:rPr>
        <w:t>2</w:t>
      </w:r>
      <w:r>
        <w:rPr>
          <w:rFonts w:ascii="Arial" w:hAnsi="Arial" w:cs="Arial"/>
          <w:bCs/>
          <w:sz w:val="24"/>
        </w:rPr>
        <w:t xml:space="preserve"> 中华人民共和国知识产权行业标准－《专利文献数据规范（ZC 0014-2012）》。</w:t>
      </w:r>
    </w:p>
    <w:p>
      <w:pPr>
        <w:spacing w:before="260" w:after="260" w:line="360" w:lineRule="auto"/>
        <w:outlineLvl w:val="1"/>
        <w:rPr>
          <w:rFonts w:ascii="Arial" w:hAnsi="Arial" w:cs="Arial"/>
          <w:b/>
          <w:bCs/>
          <w:sz w:val="24"/>
        </w:rPr>
      </w:pPr>
      <w:bookmarkStart w:id="3" w:name="_Toc1940352381"/>
      <w:bookmarkStart w:id="4" w:name="_Toc1303975676"/>
      <w:bookmarkStart w:id="5" w:name="_Toc1205037466"/>
      <w:r>
        <w:rPr>
          <w:rFonts w:ascii="Arial" w:hAnsi="Arial" w:cs="Arial"/>
          <w:b/>
          <w:bCs/>
          <w:sz w:val="24"/>
        </w:rPr>
        <w:t>3.2 项目管理要求</w:t>
      </w:r>
      <w:bookmarkEnd w:id="3"/>
      <w:bookmarkEnd w:id="4"/>
      <w:bookmarkEnd w:id="5"/>
    </w:p>
    <w:p>
      <w:pPr>
        <w:spacing w:line="360" w:lineRule="auto"/>
        <w:ind w:firstLine="480" w:firstLineChars="200"/>
        <w:rPr>
          <w:rFonts w:ascii="Arial" w:hAnsi="Arial" w:cs="Arial"/>
          <w:bCs/>
          <w:sz w:val="24"/>
        </w:rPr>
      </w:pPr>
      <w:r>
        <w:rPr>
          <w:rFonts w:ascii="Arial" w:hAnsi="Arial" w:cs="Arial"/>
          <w:bCs/>
          <w:sz w:val="24"/>
        </w:rPr>
        <w:t>3.2.1 本项目招标需求中所称</w:t>
      </w:r>
      <w:r>
        <w:rPr>
          <w:rFonts w:hint="eastAsia" w:ascii="Arial" w:hAnsi="Arial" w:cs="Arial"/>
          <w:bCs/>
          <w:sz w:val="24"/>
        </w:rPr>
        <w:t>“</w:t>
      </w:r>
      <w:r>
        <w:rPr>
          <w:rFonts w:ascii="Arial" w:hAnsi="Arial" w:cs="Arial"/>
          <w:bCs/>
          <w:sz w:val="24"/>
        </w:rPr>
        <w:t>统筹负责</w:t>
      </w:r>
      <w:r>
        <w:rPr>
          <w:rFonts w:hint="eastAsia" w:ascii="Arial" w:hAnsi="Arial" w:cs="Arial"/>
          <w:bCs/>
          <w:sz w:val="24"/>
        </w:rPr>
        <w:t>”</w:t>
      </w:r>
      <w:r>
        <w:rPr>
          <w:rFonts w:ascii="Arial" w:hAnsi="Arial" w:cs="Arial"/>
          <w:bCs/>
          <w:sz w:val="24"/>
        </w:rPr>
        <w:t>是指本招标需求规定的技术服务工作（包括自主技术服务和分包技术服务）均由投标人统筹负责和管理。</w:t>
      </w:r>
    </w:p>
    <w:p>
      <w:pPr>
        <w:spacing w:line="360" w:lineRule="auto"/>
        <w:ind w:firstLine="480" w:firstLineChars="200"/>
        <w:rPr>
          <w:rFonts w:ascii="Arial" w:hAnsi="Arial" w:cs="Arial"/>
          <w:bCs/>
          <w:sz w:val="24"/>
        </w:rPr>
      </w:pPr>
      <w:r>
        <w:rPr>
          <w:rFonts w:ascii="Arial" w:hAnsi="Arial" w:cs="Arial"/>
          <w:bCs/>
          <w:sz w:val="24"/>
        </w:rPr>
        <w:t>3.2.2 投标人若为非中小企业，需统筹负责按《政府采购促进中小企业发展管理办法》将本招标采购30%中标金额的技术服务分包给中小企业，且接受分包合同的中小企业与分包企业之间不得存在直接控股、管理关系。投标人若为中小企业，则不需项目合同分包。</w:t>
      </w:r>
    </w:p>
    <w:p>
      <w:pPr>
        <w:spacing w:line="360" w:lineRule="auto"/>
        <w:ind w:firstLine="480" w:firstLineChars="200"/>
        <w:rPr>
          <w:rFonts w:ascii="Arial" w:hAnsi="Arial" w:cs="Arial"/>
          <w:bCs/>
          <w:sz w:val="24"/>
        </w:rPr>
      </w:pPr>
      <w:r>
        <w:rPr>
          <w:rFonts w:ascii="Arial" w:hAnsi="Arial" w:cs="Arial"/>
          <w:bCs/>
          <w:sz w:val="24"/>
        </w:rPr>
        <w:t>3.2.3 投标人需按3.2.2要求在投标文件中提供《中小企业声明函》和分包意向协议。</w:t>
      </w:r>
    </w:p>
    <w:p>
      <w:pPr>
        <w:spacing w:line="360" w:lineRule="auto"/>
        <w:ind w:firstLine="480" w:firstLineChars="200"/>
        <w:rPr>
          <w:rFonts w:ascii="Arial" w:hAnsi="Arial" w:cs="Arial"/>
          <w:bCs/>
          <w:sz w:val="24"/>
        </w:rPr>
      </w:pPr>
      <w:r>
        <w:rPr>
          <w:rFonts w:ascii="Arial" w:hAnsi="Arial" w:cs="Arial"/>
          <w:bCs/>
          <w:sz w:val="24"/>
        </w:rPr>
        <w:t>3.2.4 投标人对自主技术服务和分包技术服务统筹负责和管理。</w:t>
      </w:r>
    </w:p>
    <w:p>
      <w:pPr>
        <w:spacing w:line="360" w:lineRule="auto"/>
        <w:ind w:firstLine="480" w:firstLineChars="200"/>
        <w:rPr>
          <w:rFonts w:ascii="Arial" w:hAnsi="Arial" w:cs="Arial"/>
          <w:bCs/>
          <w:sz w:val="24"/>
        </w:rPr>
      </w:pPr>
      <w:r>
        <w:rPr>
          <w:rFonts w:ascii="Arial" w:hAnsi="Arial" w:cs="Arial"/>
          <w:bCs/>
          <w:sz w:val="24"/>
        </w:rPr>
        <w:t>3.2.5 投标人应统筹负责建立完善的分包管理、业务生产、质量控制、协调沟通、应急处理、问题数据修正等流程，建立定期业务研讨机制（包括内部业务研讨、分包业务研讨和与招标人的业务研讨）。</w:t>
      </w:r>
    </w:p>
    <w:p>
      <w:pPr>
        <w:spacing w:line="360" w:lineRule="auto"/>
        <w:ind w:firstLine="480" w:firstLineChars="200"/>
        <w:rPr>
          <w:rFonts w:ascii="Arial" w:hAnsi="Arial" w:cs="Arial"/>
          <w:bCs/>
          <w:sz w:val="24"/>
        </w:rPr>
      </w:pPr>
      <w:r>
        <w:rPr>
          <w:rFonts w:ascii="Arial" w:hAnsi="Arial" w:cs="Arial"/>
          <w:bCs/>
          <w:sz w:val="24"/>
        </w:rPr>
        <w:t>3.2.6 投标人应统筹负责组建专职服务于本项目的由加工人员、质检人员、管理人员、技术支持人员等组成的团队。</w:t>
      </w:r>
    </w:p>
    <w:p>
      <w:pPr>
        <w:spacing w:line="360" w:lineRule="auto"/>
        <w:ind w:firstLine="480" w:firstLineChars="200"/>
        <w:rPr>
          <w:rFonts w:ascii="Arial" w:hAnsi="Arial" w:cs="Arial"/>
          <w:bCs/>
          <w:sz w:val="24"/>
        </w:rPr>
      </w:pPr>
      <w:r>
        <w:rPr>
          <w:rFonts w:ascii="Arial" w:hAnsi="Arial" w:cs="Arial"/>
          <w:bCs/>
          <w:sz w:val="24"/>
        </w:rPr>
        <w:t>3.2.7 投标人应统筹负责制订满足本项目需求的数据加工方案、数据质量检测方案和项目管理方案（包括投标人统筹负责的自主加工及分包加工的加工方案、质量检测方案及项目管理方案），以上方案须经招标人审核通过并备案。</w:t>
      </w:r>
    </w:p>
    <w:p>
      <w:pPr>
        <w:spacing w:line="360" w:lineRule="auto"/>
        <w:ind w:firstLine="480" w:firstLineChars="200"/>
        <w:rPr>
          <w:rFonts w:ascii="Arial" w:hAnsi="Arial" w:cs="Arial"/>
          <w:bCs/>
          <w:sz w:val="24"/>
        </w:rPr>
      </w:pPr>
      <w:r>
        <w:rPr>
          <w:rFonts w:ascii="Arial" w:hAnsi="Arial" w:cs="Arial"/>
          <w:bCs/>
          <w:sz w:val="24"/>
        </w:rPr>
        <w:t>3.2.8 投标人需应用市场主流/先进技术，并有责任跟踪相关新技术的发展，在服务实施过程中持续提高数据处理和加工的自动化水平，以确保在交付数据满足质量要求的前提下提高加工效率，相关内容需定期在交付物技术服务工作报告中体现。</w:t>
      </w:r>
    </w:p>
    <w:p>
      <w:pPr>
        <w:spacing w:line="360" w:lineRule="auto"/>
        <w:ind w:firstLine="480" w:firstLineChars="200"/>
        <w:rPr>
          <w:rFonts w:ascii="Arial" w:hAnsi="Arial" w:cs="Arial"/>
          <w:bCs/>
          <w:sz w:val="24"/>
        </w:rPr>
      </w:pPr>
      <w:r>
        <w:rPr>
          <w:rFonts w:ascii="Arial" w:hAnsi="Arial" w:cs="Arial"/>
          <w:bCs/>
          <w:sz w:val="24"/>
        </w:rPr>
        <w:t>3.2.9 本项目不接受转包。</w:t>
      </w:r>
    </w:p>
    <w:p>
      <w:pPr>
        <w:keepNext/>
        <w:keepLines/>
        <w:spacing w:before="260" w:after="260" w:line="360" w:lineRule="auto"/>
        <w:outlineLvl w:val="1"/>
        <w:rPr>
          <w:rFonts w:ascii="Arial" w:hAnsi="Arial" w:cs="Arial"/>
          <w:b/>
          <w:sz w:val="24"/>
        </w:rPr>
      </w:pPr>
      <w:r>
        <w:rPr>
          <w:rFonts w:ascii="Arial" w:hAnsi="Arial" w:cs="Arial"/>
          <w:b/>
          <w:bCs/>
          <w:sz w:val="24"/>
        </w:rPr>
        <w:t>3.</w:t>
      </w:r>
      <w:r>
        <w:rPr>
          <w:rFonts w:hint="eastAsia" w:ascii="Arial" w:hAnsi="Arial" w:cs="Arial"/>
          <w:b/>
          <w:bCs/>
          <w:sz w:val="24"/>
        </w:rPr>
        <w:t>3</w:t>
      </w:r>
      <w:r>
        <w:rPr>
          <w:rFonts w:ascii="Arial" w:hAnsi="Arial" w:cs="Arial"/>
          <w:b/>
          <w:bCs/>
          <w:sz w:val="24"/>
        </w:rPr>
        <w:t xml:space="preserve"> 服务内容</w:t>
      </w:r>
    </w:p>
    <w:p>
      <w:pPr>
        <w:keepNext/>
        <w:keepLines/>
        <w:spacing w:before="260" w:after="260" w:line="360" w:lineRule="auto"/>
        <w:outlineLvl w:val="2"/>
        <w:rPr>
          <w:rFonts w:ascii="Arial" w:hAnsi="Arial" w:cs="Arial"/>
          <w:b/>
          <w:bCs/>
          <w:kern w:val="0"/>
          <w:sz w:val="24"/>
        </w:rPr>
      </w:pPr>
      <w:r>
        <w:rPr>
          <w:rFonts w:ascii="Arial" w:hAnsi="Arial" w:cs="Arial"/>
          <w:b/>
          <w:bCs/>
          <w:kern w:val="0"/>
          <w:sz w:val="24"/>
        </w:rPr>
        <w:t>3.</w:t>
      </w:r>
      <w:r>
        <w:rPr>
          <w:rFonts w:hint="eastAsia" w:ascii="Arial" w:hAnsi="Arial" w:cs="Arial"/>
          <w:b/>
          <w:bCs/>
          <w:kern w:val="0"/>
          <w:sz w:val="24"/>
        </w:rPr>
        <w:t>3</w:t>
      </w:r>
      <w:r>
        <w:rPr>
          <w:rFonts w:ascii="Arial" w:hAnsi="Arial" w:cs="Arial"/>
          <w:b/>
          <w:bCs/>
          <w:kern w:val="0"/>
          <w:sz w:val="24"/>
        </w:rPr>
        <w:t>.1中国专利</w:t>
      </w:r>
      <w:r>
        <w:rPr>
          <w:rFonts w:hint="eastAsia" w:ascii="Arial" w:hAnsi="Arial" w:cs="Arial"/>
          <w:b/>
          <w:bCs/>
          <w:kern w:val="0"/>
          <w:sz w:val="24"/>
        </w:rPr>
        <w:t>文献</w:t>
      </w:r>
      <w:r>
        <w:rPr>
          <w:rFonts w:ascii="Arial" w:hAnsi="Arial" w:cs="Arial"/>
          <w:b/>
          <w:bCs/>
          <w:kern w:val="0"/>
          <w:sz w:val="24"/>
        </w:rPr>
        <w:t>翻译</w:t>
      </w:r>
    </w:p>
    <w:p>
      <w:pPr>
        <w:keepNext/>
        <w:keepLines/>
        <w:spacing w:before="280" w:after="290" w:line="360" w:lineRule="auto"/>
        <w:outlineLvl w:val="3"/>
        <w:rPr>
          <w:rFonts w:ascii="Arial" w:hAnsi="Arial" w:cs="Arial"/>
          <w:bCs/>
          <w:kern w:val="0"/>
          <w:sz w:val="24"/>
        </w:rPr>
      </w:pPr>
      <w:r>
        <w:rPr>
          <w:rFonts w:ascii="Arial" w:hAnsi="Arial" w:cs="Arial"/>
          <w:bCs/>
          <w:kern w:val="0"/>
          <w:sz w:val="24"/>
        </w:rPr>
        <w:t>3.</w:t>
      </w:r>
      <w:r>
        <w:rPr>
          <w:rFonts w:hint="eastAsia" w:ascii="Arial" w:hAnsi="Arial" w:cs="Arial"/>
          <w:bCs/>
          <w:kern w:val="0"/>
          <w:sz w:val="24"/>
        </w:rPr>
        <w:t>3</w:t>
      </w:r>
      <w:r>
        <w:rPr>
          <w:rFonts w:ascii="Arial" w:hAnsi="Arial" w:cs="Arial"/>
          <w:bCs/>
          <w:kern w:val="0"/>
          <w:sz w:val="24"/>
        </w:rPr>
        <w:t xml:space="preserve">.1.1 </w:t>
      </w:r>
      <w:r>
        <w:rPr>
          <w:rFonts w:hint="eastAsia" w:ascii="Arial" w:hAnsi="Arial" w:cs="Arial"/>
          <w:bCs/>
          <w:kern w:val="0"/>
          <w:sz w:val="24"/>
        </w:rPr>
        <w:t>数据源</w:t>
      </w:r>
    </w:p>
    <w:p>
      <w:pPr>
        <w:spacing w:line="360" w:lineRule="auto"/>
        <w:ind w:firstLine="480" w:firstLineChars="200"/>
        <w:rPr>
          <w:rFonts w:hint="eastAsia" w:ascii="Arial" w:hAnsi="Arial" w:cs="Arial"/>
          <w:bCs/>
          <w:sz w:val="24"/>
        </w:rPr>
      </w:pPr>
      <w:r>
        <w:rPr>
          <w:rFonts w:hint="eastAsia" w:ascii="Arial" w:hAnsi="Arial" w:cs="Arial"/>
          <w:bCs/>
          <w:sz w:val="24"/>
        </w:rPr>
        <w:t>2023年第4101期至2024年第3902期公开</w:t>
      </w:r>
      <w:r>
        <w:rPr>
          <w:rFonts w:ascii="Arial" w:hAnsi="Arial" w:cs="Arial"/>
          <w:bCs/>
          <w:sz w:val="24"/>
        </w:rPr>
        <w:t>的中国专利公报</w:t>
      </w:r>
      <w:r>
        <w:rPr>
          <w:rFonts w:hint="eastAsia" w:ascii="Arial" w:hAnsi="Arial" w:cs="Arial"/>
          <w:bCs/>
          <w:sz w:val="24"/>
        </w:rPr>
        <w:t>数据，包括</w:t>
      </w:r>
      <w:r>
        <w:rPr>
          <w:rFonts w:ascii="Arial" w:hAnsi="Arial" w:cs="Arial"/>
          <w:bCs/>
          <w:sz w:val="24"/>
        </w:rPr>
        <w:t>发明公</w:t>
      </w:r>
      <w:r>
        <w:rPr>
          <w:rFonts w:hint="eastAsia" w:ascii="Arial" w:hAnsi="Arial" w:cs="Arial"/>
          <w:bCs/>
          <w:sz w:val="24"/>
        </w:rPr>
        <w:t>布和实用新型授权的部分著录项目和摘要翻译成英文：</w:t>
      </w:r>
    </w:p>
    <w:p>
      <w:pPr>
        <w:spacing w:line="360" w:lineRule="auto"/>
        <w:ind w:firstLine="480" w:firstLineChars="200"/>
        <w:rPr>
          <w:rFonts w:hint="eastAsia" w:ascii="Arial" w:hAnsi="Arial" w:cs="Arial"/>
          <w:bCs/>
          <w:sz w:val="24"/>
        </w:rPr>
      </w:pPr>
      <w:r>
        <w:rPr>
          <w:rFonts w:hint="eastAsia" w:ascii="Arial" w:hAnsi="Arial" w:cs="Arial"/>
          <w:bCs/>
          <w:sz w:val="24"/>
        </w:rPr>
        <w:t>中国专利发明公布：（71）申请人；（72）发明人；（54）发明名称；（57）摘要。预计加工量约为170万件，最终加工量以实际发生为准。</w:t>
      </w:r>
    </w:p>
    <w:p>
      <w:pPr>
        <w:spacing w:line="360" w:lineRule="auto"/>
        <w:ind w:firstLine="480" w:firstLineChars="200"/>
        <w:rPr>
          <w:rFonts w:hint="eastAsia" w:ascii="Arial" w:hAnsi="Arial" w:cs="Arial"/>
          <w:bCs/>
          <w:sz w:val="24"/>
        </w:rPr>
      </w:pPr>
      <w:r>
        <w:rPr>
          <w:rFonts w:hint="eastAsia" w:ascii="Arial" w:hAnsi="Arial" w:cs="Arial"/>
          <w:bCs/>
          <w:sz w:val="24"/>
        </w:rPr>
        <w:t>中国专利实用新型授权：（73）专利权人；（72）发明人；（54）实用新型名称；（57）摘要。预计加工量约为270万件，最终加工量以实际发生为准。</w:t>
      </w:r>
    </w:p>
    <w:p>
      <w:pPr>
        <w:spacing w:line="360" w:lineRule="auto"/>
        <w:ind w:firstLine="480" w:firstLineChars="200"/>
        <w:rPr>
          <w:rFonts w:hint="eastAsia" w:ascii="Arial" w:hAnsi="Arial" w:cs="Arial"/>
          <w:bCs/>
          <w:sz w:val="24"/>
        </w:rPr>
      </w:pPr>
      <w:r>
        <w:rPr>
          <w:rFonts w:hint="eastAsia" w:ascii="Arial" w:hAnsi="Arial" w:cs="Arial"/>
          <w:bCs/>
          <w:sz w:val="24"/>
        </w:rPr>
        <w:t>投标人应统筹负责源数据校验，验证源数据的完整性、可用性和一致性。投标人对于发现的源数据错误应作标记，并保证及时通知招标人。</w:t>
      </w:r>
    </w:p>
    <w:p>
      <w:pPr>
        <w:pStyle w:val="2"/>
      </w:pPr>
    </w:p>
    <w:p>
      <w:pPr>
        <w:keepNext/>
        <w:keepLines/>
        <w:spacing w:before="280" w:after="290" w:line="360" w:lineRule="auto"/>
        <w:outlineLvl w:val="3"/>
        <w:rPr>
          <w:rFonts w:ascii="Arial" w:hAnsi="Arial" w:cs="Arial"/>
          <w:bCs/>
          <w:kern w:val="0"/>
          <w:sz w:val="24"/>
        </w:rPr>
      </w:pPr>
      <w:r>
        <w:rPr>
          <w:rFonts w:ascii="Arial" w:hAnsi="Arial" w:cs="Arial"/>
          <w:bCs/>
          <w:kern w:val="0"/>
          <w:sz w:val="24"/>
        </w:rPr>
        <w:t>3.</w:t>
      </w:r>
      <w:r>
        <w:rPr>
          <w:rFonts w:hint="eastAsia" w:ascii="Arial" w:hAnsi="Arial" w:cs="Arial"/>
          <w:bCs/>
          <w:kern w:val="0"/>
          <w:sz w:val="24"/>
        </w:rPr>
        <w:t>3</w:t>
      </w:r>
      <w:r>
        <w:rPr>
          <w:rFonts w:ascii="Arial" w:hAnsi="Arial" w:cs="Arial"/>
          <w:bCs/>
          <w:kern w:val="0"/>
          <w:sz w:val="24"/>
        </w:rPr>
        <w:t>.1.2 翻译方法</w:t>
      </w:r>
    </w:p>
    <w:p>
      <w:pPr>
        <w:spacing w:line="360" w:lineRule="auto"/>
        <w:ind w:firstLine="480" w:firstLineChars="200"/>
        <w:rPr>
          <w:rFonts w:ascii="Arial" w:hAnsi="Arial" w:cs="Arial"/>
          <w:bCs/>
          <w:sz w:val="24"/>
        </w:rPr>
      </w:pPr>
      <w:r>
        <w:rPr>
          <w:rFonts w:ascii="Arial" w:hAnsi="Arial" w:cs="Arial"/>
          <w:bCs/>
          <w:sz w:val="24"/>
        </w:rPr>
        <w:t>投标人应依据中华人民共和国教育部国家语言文字工作委员会－《机器翻译系统评测规范（GF2006）》的要求，对上述中国专利文献进行翻译。</w:t>
      </w:r>
    </w:p>
    <w:p>
      <w:pPr>
        <w:keepNext/>
        <w:keepLines/>
        <w:spacing w:before="280" w:after="290" w:line="360" w:lineRule="auto"/>
        <w:outlineLvl w:val="3"/>
        <w:rPr>
          <w:rFonts w:ascii="Arial" w:hAnsi="Arial" w:cs="Arial"/>
          <w:bCs/>
          <w:kern w:val="0"/>
          <w:sz w:val="24"/>
        </w:rPr>
      </w:pPr>
      <w:r>
        <w:rPr>
          <w:rFonts w:ascii="Arial" w:hAnsi="Arial" w:cs="Arial"/>
          <w:bCs/>
          <w:kern w:val="0"/>
          <w:sz w:val="24"/>
        </w:rPr>
        <w:t>3.</w:t>
      </w:r>
      <w:r>
        <w:rPr>
          <w:rFonts w:hint="eastAsia" w:ascii="Arial" w:hAnsi="Arial" w:cs="Arial"/>
          <w:bCs/>
          <w:kern w:val="0"/>
          <w:sz w:val="24"/>
        </w:rPr>
        <w:t>3</w:t>
      </w:r>
      <w:r>
        <w:rPr>
          <w:rFonts w:ascii="Arial" w:hAnsi="Arial" w:cs="Arial"/>
          <w:bCs/>
          <w:kern w:val="0"/>
          <w:sz w:val="24"/>
        </w:rPr>
        <w:t>.1.3 翻译要求</w:t>
      </w:r>
    </w:p>
    <w:p>
      <w:pPr>
        <w:keepNext/>
        <w:keepLines/>
        <w:spacing w:before="280" w:after="290" w:line="360" w:lineRule="auto"/>
        <w:outlineLvl w:val="4"/>
        <w:rPr>
          <w:rFonts w:ascii="Arial" w:hAnsi="Arial" w:cs="Arial"/>
          <w:b/>
          <w:bCs/>
          <w:sz w:val="24"/>
        </w:rPr>
      </w:pPr>
      <w:r>
        <w:rPr>
          <w:rFonts w:ascii="Arial" w:hAnsi="Arial" w:cs="Arial"/>
          <w:b/>
          <w:bCs/>
          <w:sz w:val="24"/>
        </w:rPr>
        <w:t>3.</w:t>
      </w:r>
      <w:r>
        <w:rPr>
          <w:rFonts w:hint="eastAsia" w:ascii="Arial" w:hAnsi="Arial" w:cs="Arial"/>
          <w:b/>
          <w:bCs/>
          <w:sz w:val="24"/>
        </w:rPr>
        <w:t>3</w:t>
      </w:r>
      <w:r>
        <w:rPr>
          <w:rFonts w:ascii="Arial" w:hAnsi="Arial" w:cs="Arial"/>
          <w:b/>
          <w:bCs/>
          <w:sz w:val="24"/>
        </w:rPr>
        <w:t>.1.3.1申请人</w:t>
      </w:r>
      <w:r>
        <w:rPr>
          <w:rFonts w:hint="eastAsia" w:ascii="Arial" w:hAnsi="Arial" w:cs="Arial"/>
          <w:b/>
          <w:bCs/>
          <w:sz w:val="24"/>
        </w:rPr>
        <w:t>/专利权人</w:t>
      </w:r>
      <w:r>
        <w:rPr>
          <w:rFonts w:ascii="Arial" w:hAnsi="Arial" w:cs="Arial"/>
          <w:b/>
          <w:bCs/>
          <w:sz w:val="24"/>
        </w:rPr>
        <w:t>翻译要求</w:t>
      </w:r>
    </w:p>
    <w:p>
      <w:pPr>
        <w:spacing w:line="360" w:lineRule="auto"/>
        <w:ind w:firstLine="480" w:firstLineChars="200"/>
        <w:rPr>
          <w:rFonts w:ascii="Arial" w:hAnsi="Arial" w:cs="Arial"/>
          <w:bCs/>
          <w:sz w:val="24"/>
        </w:rPr>
      </w:pPr>
      <w:r>
        <w:rPr>
          <w:rFonts w:ascii="Arial" w:hAnsi="Arial" w:cs="Arial"/>
          <w:bCs/>
          <w:sz w:val="24"/>
        </w:rPr>
        <w:t>本部分适用于申请人</w:t>
      </w:r>
      <w:r>
        <w:rPr>
          <w:rFonts w:hint="eastAsia" w:ascii="Arial" w:hAnsi="Arial" w:cs="Arial"/>
          <w:bCs/>
          <w:sz w:val="24"/>
        </w:rPr>
        <w:t>/专利权人</w:t>
      </w:r>
      <w:r>
        <w:rPr>
          <w:rFonts w:ascii="Arial" w:hAnsi="Arial" w:cs="Arial"/>
          <w:bCs/>
          <w:sz w:val="24"/>
        </w:rPr>
        <w:t>为非自然人的申请机构名称的翻译。若申请人</w:t>
      </w:r>
      <w:r>
        <w:rPr>
          <w:rFonts w:hint="eastAsia" w:ascii="Arial" w:hAnsi="Arial" w:cs="Arial"/>
          <w:bCs/>
          <w:sz w:val="24"/>
        </w:rPr>
        <w:t>/专利权人</w:t>
      </w:r>
      <w:r>
        <w:rPr>
          <w:rFonts w:ascii="Arial" w:hAnsi="Arial" w:cs="Arial"/>
          <w:bCs/>
          <w:sz w:val="24"/>
        </w:rPr>
        <w:t>为自然人，其翻译要求详见3.</w:t>
      </w:r>
      <w:r>
        <w:rPr>
          <w:rFonts w:hint="eastAsia" w:ascii="Arial" w:hAnsi="Arial" w:cs="Arial"/>
          <w:bCs/>
          <w:sz w:val="24"/>
        </w:rPr>
        <w:t>3</w:t>
      </w:r>
      <w:r>
        <w:rPr>
          <w:rFonts w:ascii="Arial" w:hAnsi="Arial" w:cs="Arial"/>
          <w:bCs/>
          <w:sz w:val="24"/>
        </w:rPr>
        <w:t>.1.3.2发明人翻译要求。</w:t>
      </w:r>
    </w:p>
    <w:p>
      <w:pPr>
        <w:keepNext/>
        <w:keepLines/>
        <w:spacing w:before="240" w:after="64" w:line="360" w:lineRule="auto"/>
        <w:outlineLvl w:val="5"/>
        <w:rPr>
          <w:rFonts w:ascii="Arial" w:hAnsi="Arial" w:cs="Arial"/>
          <w:bCs/>
          <w:sz w:val="24"/>
        </w:rPr>
      </w:pPr>
      <w:r>
        <w:rPr>
          <w:rFonts w:ascii="Arial" w:hAnsi="Arial" w:cs="Arial"/>
          <w:bCs/>
          <w:sz w:val="24"/>
        </w:rPr>
        <w:t>3.</w:t>
      </w:r>
      <w:r>
        <w:rPr>
          <w:rFonts w:hint="eastAsia" w:ascii="Arial" w:hAnsi="Arial" w:cs="Arial"/>
          <w:bCs/>
          <w:sz w:val="24"/>
        </w:rPr>
        <w:t>3</w:t>
      </w:r>
      <w:r>
        <w:rPr>
          <w:rFonts w:ascii="Arial" w:hAnsi="Arial" w:cs="Arial"/>
          <w:bCs/>
          <w:sz w:val="24"/>
        </w:rPr>
        <w:t>.1.3.1.1 原则要求</w:t>
      </w:r>
    </w:p>
    <w:p>
      <w:pPr>
        <w:spacing w:line="360" w:lineRule="auto"/>
        <w:ind w:firstLine="480" w:firstLineChars="200"/>
        <w:rPr>
          <w:rFonts w:ascii="Arial" w:hAnsi="Arial" w:cs="Arial"/>
          <w:bCs/>
          <w:sz w:val="24"/>
        </w:rPr>
      </w:pPr>
      <w:r>
        <w:rPr>
          <w:rFonts w:ascii="Arial" w:hAnsi="Arial" w:cs="Arial"/>
          <w:bCs/>
          <w:sz w:val="24"/>
        </w:rPr>
        <w:t>申请机构名称应以客观存在的权威译名信息为依据，按照先检索后自译的顺序进行加工，对于能够检索到既有译名的申请机构，宜选用既有译名；同一申请人的英译文应规范且在相应历史时期保持一致。</w:t>
      </w:r>
    </w:p>
    <w:p>
      <w:pPr>
        <w:keepNext/>
        <w:keepLines/>
        <w:spacing w:before="240" w:after="64" w:line="360" w:lineRule="auto"/>
        <w:outlineLvl w:val="5"/>
        <w:rPr>
          <w:rFonts w:ascii="Arial" w:hAnsi="Arial" w:cs="Arial"/>
          <w:bCs/>
          <w:sz w:val="24"/>
        </w:rPr>
      </w:pPr>
      <w:r>
        <w:rPr>
          <w:rFonts w:ascii="Arial" w:hAnsi="Arial" w:cs="Arial"/>
          <w:bCs/>
          <w:sz w:val="24"/>
        </w:rPr>
        <w:t>3.</w:t>
      </w:r>
      <w:r>
        <w:rPr>
          <w:rFonts w:hint="eastAsia" w:ascii="Arial" w:hAnsi="Arial" w:cs="Arial"/>
          <w:bCs/>
          <w:sz w:val="24"/>
        </w:rPr>
        <w:t>3</w:t>
      </w:r>
      <w:r>
        <w:rPr>
          <w:rFonts w:ascii="Arial" w:hAnsi="Arial" w:cs="Arial"/>
          <w:bCs/>
          <w:sz w:val="24"/>
        </w:rPr>
        <w:t>.1.3.1.2 检索要求</w:t>
      </w:r>
    </w:p>
    <w:p>
      <w:pPr>
        <w:spacing w:line="360" w:lineRule="auto"/>
        <w:ind w:firstLine="480" w:firstLineChars="200"/>
        <w:rPr>
          <w:rFonts w:ascii="Arial" w:hAnsi="Arial" w:cs="Arial"/>
          <w:bCs/>
          <w:sz w:val="24"/>
        </w:rPr>
      </w:pPr>
      <w:r>
        <w:rPr>
          <w:rFonts w:ascii="Arial" w:hAnsi="Arial" w:cs="Arial"/>
          <w:bCs/>
          <w:sz w:val="24"/>
        </w:rPr>
        <w:t>在申请机构数据的翻译过程中，应首先进行检索，以查找该申请机构是否存在既有译名。</w:t>
      </w:r>
    </w:p>
    <w:p>
      <w:pPr>
        <w:spacing w:line="360" w:lineRule="auto"/>
        <w:rPr>
          <w:rFonts w:ascii="Arial" w:hAnsi="Arial" w:cs="Arial"/>
          <w:bCs/>
          <w:sz w:val="24"/>
        </w:rPr>
      </w:pPr>
      <w:r>
        <w:rPr>
          <w:rFonts w:ascii="Arial" w:hAnsi="Arial" w:cs="Arial"/>
          <w:bCs/>
          <w:sz w:val="24"/>
        </w:rPr>
        <w:t>3.</w:t>
      </w:r>
      <w:r>
        <w:rPr>
          <w:rFonts w:hint="eastAsia" w:ascii="Arial" w:hAnsi="Arial" w:cs="Arial"/>
          <w:bCs/>
          <w:sz w:val="24"/>
        </w:rPr>
        <w:t>3</w:t>
      </w:r>
      <w:r>
        <w:rPr>
          <w:rFonts w:ascii="Arial" w:hAnsi="Arial" w:cs="Arial"/>
          <w:bCs/>
          <w:sz w:val="24"/>
        </w:rPr>
        <w:t>.1.3.1.</w:t>
      </w:r>
      <w:r>
        <w:rPr>
          <w:rFonts w:hint="eastAsia" w:ascii="Arial" w:hAnsi="Arial" w:cs="Arial"/>
          <w:bCs/>
          <w:sz w:val="24"/>
        </w:rPr>
        <w:t>3</w:t>
      </w:r>
      <w:r>
        <w:rPr>
          <w:rFonts w:ascii="Arial" w:hAnsi="Arial" w:cs="Arial"/>
          <w:bCs/>
          <w:sz w:val="24"/>
        </w:rPr>
        <w:t xml:space="preserve"> 格式要求</w:t>
      </w:r>
    </w:p>
    <w:p>
      <w:pPr>
        <w:spacing w:line="360" w:lineRule="auto"/>
        <w:ind w:firstLine="480" w:firstLineChars="200"/>
        <w:rPr>
          <w:rFonts w:ascii="Arial" w:hAnsi="Arial" w:cs="Arial"/>
          <w:bCs/>
          <w:sz w:val="24"/>
        </w:rPr>
      </w:pPr>
      <w:r>
        <w:rPr>
          <w:rFonts w:ascii="Arial" w:hAnsi="Arial" w:cs="Arial"/>
          <w:bCs/>
          <w:sz w:val="24"/>
        </w:rPr>
        <w:t>申请机构译名中的各类符号应采用半角字符，标点符号应书写完整，除</w:t>
      </w:r>
      <w:r>
        <w:rPr>
          <w:rFonts w:hint="eastAsia" w:ascii="Arial" w:hAnsi="Arial" w:cs="Arial"/>
          <w:bCs/>
          <w:sz w:val="24"/>
        </w:rPr>
        <w:t>“</w:t>
      </w:r>
      <w:r>
        <w:rPr>
          <w:rFonts w:ascii="Arial" w:hAnsi="Arial" w:cs="Arial"/>
          <w:bCs/>
          <w:sz w:val="24"/>
        </w:rPr>
        <w:t>&amp;</w:t>
      </w:r>
      <w:r>
        <w:rPr>
          <w:rFonts w:hint="eastAsia" w:ascii="Arial" w:hAnsi="Arial" w:cs="Arial"/>
          <w:bCs/>
          <w:sz w:val="24"/>
        </w:rPr>
        <w:t>”</w:t>
      </w:r>
      <w:r>
        <w:rPr>
          <w:rFonts w:ascii="Arial" w:hAnsi="Arial" w:cs="Arial"/>
          <w:bCs/>
          <w:sz w:val="24"/>
        </w:rPr>
        <w:t>、</w:t>
      </w:r>
      <w:r>
        <w:rPr>
          <w:rFonts w:hint="eastAsia" w:ascii="Arial" w:hAnsi="Arial" w:cs="Arial"/>
          <w:bCs/>
          <w:sz w:val="24"/>
        </w:rPr>
        <w:t>“</w:t>
      </w:r>
      <w:r>
        <w:rPr>
          <w:rFonts w:ascii="Arial" w:hAnsi="Arial" w:cs="Arial"/>
          <w:bCs/>
          <w:sz w:val="24"/>
        </w:rPr>
        <w:t>-</w:t>
      </w:r>
      <w:r>
        <w:rPr>
          <w:rFonts w:hint="eastAsia" w:ascii="Arial" w:hAnsi="Arial" w:cs="Arial"/>
          <w:bCs/>
          <w:sz w:val="24"/>
        </w:rPr>
        <w:t>”</w:t>
      </w:r>
      <w:r>
        <w:rPr>
          <w:rFonts w:ascii="Arial" w:hAnsi="Arial" w:cs="Arial"/>
          <w:bCs/>
          <w:sz w:val="24"/>
        </w:rPr>
        <w:t>等字符连接的单词之外，以单个空格分隔申请机构译名中的相邻单词。隔音符号应</w:t>
      </w:r>
      <w:r>
        <w:rPr>
          <w:rFonts w:hint="eastAsia" w:ascii="Arial" w:hAnsi="Arial" w:cs="Arial"/>
          <w:bCs/>
          <w:sz w:val="24"/>
        </w:rPr>
        <w:t>符合</w:t>
      </w:r>
      <w:r>
        <w:rPr>
          <w:rFonts w:ascii="Arial" w:hAnsi="Arial" w:cs="Arial"/>
          <w:bCs/>
          <w:sz w:val="24"/>
        </w:rPr>
        <w:t>《汉语拼音方案》使用</w:t>
      </w:r>
      <w:r>
        <w:rPr>
          <w:rFonts w:hint="eastAsia" w:ascii="Arial" w:hAnsi="Arial" w:cs="Arial"/>
          <w:bCs/>
          <w:sz w:val="24"/>
        </w:rPr>
        <w:t>规范</w:t>
      </w:r>
      <w:r>
        <w:rPr>
          <w:rFonts w:ascii="Arial" w:hAnsi="Arial" w:cs="Arial"/>
          <w:bCs/>
          <w:sz w:val="24"/>
        </w:rPr>
        <w:t>。</w:t>
      </w:r>
    </w:p>
    <w:p>
      <w:pPr>
        <w:keepNext/>
        <w:keepLines/>
        <w:spacing w:before="280" w:after="290" w:line="360" w:lineRule="auto"/>
        <w:outlineLvl w:val="4"/>
        <w:rPr>
          <w:rFonts w:ascii="Arial" w:hAnsi="Arial" w:cs="Arial"/>
          <w:b/>
          <w:bCs/>
          <w:sz w:val="24"/>
        </w:rPr>
      </w:pPr>
      <w:r>
        <w:rPr>
          <w:rFonts w:ascii="Arial" w:hAnsi="Arial" w:cs="Arial"/>
          <w:b/>
          <w:bCs/>
          <w:sz w:val="24"/>
        </w:rPr>
        <w:t>3.</w:t>
      </w:r>
      <w:r>
        <w:rPr>
          <w:rFonts w:hint="eastAsia" w:ascii="Arial" w:hAnsi="Arial" w:cs="Arial"/>
          <w:b/>
          <w:bCs/>
          <w:sz w:val="24"/>
        </w:rPr>
        <w:t>3</w:t>
      </w:r>
      <w:r>
        <w:rPr>
          <w:rFonts w:ascii="Arial" w:hAnsi="Arial" w:cs="Arial"/>
          <w:b/>
          <w:bCs/>
          <w:sz w:val="24"/>
        </w:rPr>
        <w:t>.1.3.2 发明人翻译要求</w:t>
      </w:r>
    </w:p>
    <w:p>
      <w:pPr>
        <w:keepNext/>
        <w:keepLines/>
        <w:spacing w:before="240" w:after="64" w:line="360" w:lineRule="auto"/>
        <w:outlineLvl w:val="5"/>
        <w:rPr>
          <w:rFonts w:ascii="Arial" w:hAnsi="Arial" w:cs="Arial"/>
          <w:bCs/>
          <w:sz w:val="24"/>
        </w:rPr>
      </w:pPr>
      <w:r>
        <w:rPr>
          <w:rFonts w:ascii="Arial" w:hAnsi="Arial" w:cs="Arial"/>
          <w:bCs/>
          <w:sz w:val="24"/>
        </w:rPr>
        <w:t>3.</w:t>
      </w:r>
      <w:r>
        <w:rPr>
          <w:rFonts w:hint="eastAsia" w:ascii="Arial" w:hAnsi="Arial" w:cs="Arial"/>
          <w:bCs/>
          <w:sz w:val="24"/>
        </w:rPr>
        <w:t>3</w:t>
      </w:r>
      <w:r>
        <w:rPr>
          <w:rFonts w:ascii="Arial" w:hAnsi="Arial" w:cs="Arial"/>
          <w:bCs/>
          <w:sz w:val="24"/>
        </w:rPr>
        <w:t>.1.3.2.1 原则要求</w:t>
      </w:r>
    </w:p>
    <w:p>
      <w:pPr>
        <w:spacing w:line="360" w:lineRule="auto"/>
        <w:ind w:firstLine="480"/>
        <w:rPr>
          <w:rFonts w:ascii="Arial" w:hAnsi="Arial" w:cs="Arial"/>
          <w:bCs/>
          <w:sz w:val="24"/>
        </w:rPr>
      </w:pPr>
      <w:r>
        <w:rPr>
          <w:rFonts w:ascii="Arial" w:hAnsi="Arial" w:cs="Arial"/>
          <w:bCs/>
          <w:sz w:val="24"/>
        </w:rPr>
        <w:t>发明人姓名的加工应本着</w:t>
      </w:r>
      <w:r>
        <w:rPr>
          <w:rFonts w:hint="eastAsia" w:ascii="Arial" w:hAnsi="Arial" w:cs="Arial"/>
          <w:bCs/>
          <w:sz w:val="24"/>
        </w:rPr>
        <w:t>“</w:t>
      </w:r>
      <w:r>
        <w:rPr>
          <w:rFonts w:ascii="Arial" w:hAnsi="Arial" w:cs="Arial"/>
          <w:bCs/>
          <w:sz w:val="24"/>
        </w:rPr>
        <w:t>名从主人</w:t>
      </w:r>
      <w:r>
        <w:rPr>
          <w:rFonts w:hint="eastAsia" w:ascii="Arial" w:hAnsi="Arial" w:cs="Arial"/>
          <w:bCs/>
          <w:sz w:val="24"/>
        </w:rPr>
        <w:t>”</w:t>
      </w:r>
      <w:r>
        <w:rPr>
          <w:rFonts w:ascii="Arial" w:hAnsi="Arial" w:cs="Arial"/>
          <w:bCs/>
          <w:sz w:val="24"/>
        </w:rPr>
        <w:t>的原则，按照先检索后自译的顺序进行加工，对于能够检索到既有译名的姓名，宜优先选用既有译名；同一发明人的英译文应规范且在相应历史时期保持一致。发明人姓名的加工应符合汉语拼音及英语的使用规范和习惯。</w:t>
      </w:r>
    </w:p>
    <w:p>
      <w:pPr>
        <w:keepNext/>
        <w:keepLines/>
        <w:spacing w:before="240" w:after="64" w:line="360" w:lineRule="auto"/>
        <w:outlineLvl w:val="5"/>
        <w:rPr>
          <w:rFonts w:ascii="Arial" w:hAnsi="Arial" w:cs="Arial"/>
          <w:bCs/>
          <w:sz w:val="24"/>
        </w:rPr>
      </w:pPr>
      <w:r>
        <w:rPr>
          <w:rFonts w:ascii="Arial" w:hAnsi="Arial" w:cs="Arial"/>
          <w:bCs/>
          <w:sz w:val="24"/>
        </w:rPr>
        <w:t>3.</w:t>
      </w:r>
      <w:r>
        <w:rPr>
          <w:rFonts w:hint="eastAsia" w:ascii="Arial" w:hAnsi="Arial" w:cs="Arial"/>
          <w:bCs/>
          <w:sz w:val="24"/>
        </w:rPr>
        <w:t>3</w:t>
      </w:r>
      <w:r>
        <w:rPr>
          <w:rFonts w:ascii="Arial" w:hAnsi="Arial" w:cs="Arial"/>
          <w:bCs/>
          <w:sz w:val="24"/>
        </w:rPr>
        <w:t>.1.3.2.2 内容要求</w:t>
      </w:r>
    </w:p>
    <w:p>
      <w:pPr>
        <w:spacing w:line="360" w:lineRule="auto"/>
        <w:ind w:firstLine="480"/>
        <w:rPr>
          <w:rFonts w:ascii="Arial" w:hAnsi="Arial" w:cs="Arial"/>
          <w:bCs/>
          <w:sz w:val="24"/>
        </w:rPr>
      </w:pPr>
      <w:r>
        <w:rPr>
          <w:rFonts w:ascii="Arial" w:hAnsi="Arial" w:cs="Arial"/>
          <w:bCs/>
          <w:sz w:val="24"/>
        </w:rPr>
        <w:t>发明人姓名数据的加工包括可检索到既有译名的情况和未能检索到既有译名而需要自译的情况。</w:t>
      </w:r>
    </w:p>
    <w:p>
      <w:pPr>
        <w:spacing w:line="360" w:lineRule="auto"/>
        <w:ind w:firstLine="480"/>
        <w:rPr>
          <w:rFonts w:ascii="Arial" w:hAnsi="Arial" w:cs="Arial"/>
          <w:bCs/>
          <w:sz w:val="24"/>
        </w:rPr>
      </w:pPr>
      <w:r>
        <w:rPr>
          <w:rFonts w:ascii="Arial" w:hAnsi="Arial" w:cs="Arial"/>
          <w:bCs/>
          <w:sz w:val="24"/>
        </w:rPr>
        <w:t>若检索到发明人的既有译名，宜直接采用既有译名。</w:t>
      </w:r>
    </w:p>
    <w:p>
      <w:pPr>
        <w:spacing w:line="360" w:lineRule="auto"/>
        <w:ind w:firstLine="482"/>
        <w:rPr>
          <w:rFonts w:ascii="Arial" w:hAnsi="Arial" w:cs="Arial"/>
          <w:bCs/>
          <w:sz w:val="24"/>
        </w:rPr>
      </w:pPr>
      <w:r>
        <w:rPr>
          <w:rFonts w:ascii="Arial" w:hAnsi="Arial" w:cs="Arial"/>
          <w:bCs/>
          <w:sz w:val="24"/>
        </w:rPr>
        <w:t>未能检索到既有译名的发明人姓名数据可按如下要求进行自译：中国（含港澳台）发明人译名应符合《汉语拼音方案》、《中国人名汉语拼音字母拼写规则》及《汉语拼音正词法基本规则》的要求，按照汉语使用规范和风俗习惯选择正确的拼写形式。非中国发明人译名应符合其所在国家或地区对英译名的规范和习</w:t>
      </w:r>
      <w:r>
        <w:rPr>
          <w:rFonts w:hint="eastAsia" w:ascii="Arial" w:hAnsi="Arial" w:cs="Arial"/>
          <w:bCs/>
          <w:sz w:val="24"/>
        </w:rPr>
        <w:t>惯</w:t>
      </w:r>
      <w:r>
        <w:rPr>
          <w:rFonts w:ascii="Arial" w:hAnsi="Arial" w:cs="Arial"/>
          <w:bCs/>
          <w:sz w:val="24"/>
        </w:rPr>
        <w:t>。</w:t>
      </w:r>
    </w:p>
    <w:p>
      <w:pPr>
        <w:keepNext/>
        <w:keepLines/>
        <w:spacing w:before="240" w:after="64" w:line="360" w:lineRule="auto"/>
        <w:outlineLvl w:val="5"/>
        <w:rPr>
          <w:rFonts w:ascii="Arial" w:hAnsi="Arial" w:cs="Arial"/>
          <w:bCs/>
          <w:sz w:val="24"/>
        </w:rPr>
      </w:pPr>
      <w:r>
        <w:rPr>
          <w:rFonts w:ascii="Arial" w:hAnsi="Arial" w:cs="Arial"/>
          <w:bCs/>
          <w:sz w:val="24"/>
        </w:rPr>
        <w:t>3.</w:t>
      </w:r>
      <w:r>
        <w:rPr>
          <w:rFonts w:hint="eastAsia" w:ascii="Arial" w:hAnsi="Arial" w:cs="Arial"/>
          <w:bCs/>
          <w:sz w:val="24"/>
        </w:rPr>
        <w:t>3</w:t>
      </w:r>
      <w:r>
        <w:rPr>
          <w:rFonts w:ascii="Arial" w:hAnsi="Arial" w:cs="Arial"/>
          <w:bCs/>
          <w:sz w:val="24"/>
        </w:rPr>
        <w:t>.1.3.2.3 格式要求</w:t>
      </w:r>
    </w:p>
    <w:p>
      <w:pPr>
        <w:spacing w:line="360" w:lineRule="auto"/>
        <w:ind w:firstLine="480"/>
        <w:rPr>
          <w:rFonts w:ascii="Arial" w:hAnsi="Arial" w:cs="Arial"/>
          <w:bCs/>
          <w:sz w:val="24"/>
        </w:rPr>
      </w:pPr>
      <w:r>
        <w:rPr>
          <w:rFonts w:ascii="Arial" w:hAnsi="Arial" w:cs="Arial"/>
          <w:bCs/>
          <w:sz w:val="24"/>
        </w:rPr>
        <w:t>发明人译名书写时应采用半角字符，译名中的姓和名应用空格隔开；若姓和名无法区分时，可采用连写形式。</w:t>
      </w:r>
    </w:p>
    <w:p>
      <w:pPr>
        <w:keepNext/>
        <w:keepLines/>
        <w:spacing w:before="280" w:after="290" w:line="360" w:lineRule="auto"/>
        <w:outlineLvl w:val="4"/>
        <w:rPr>
          <w:rFonts w:ascii="Arial" w:hAnsi="Arial" w:cs="Arial"/>
          <w:b/>
          <w:bCs/>
          <w:sz w:val="24"/>
        </w:rPr>
      </w:pPr>
      <w:r>
        <w:rPr>
          <w:rFonts w:ascii="Arial" w:hAnsi="Arial" w:cs="Arial"/>
          <w:b/>
          <w:bCs/>
          <w:sz w:val="24"/>
        </w:rPr>
        <w:t>3.</w:t>
      </w:r>
      <w:r>
        <w:rPr>
          <w:rFonts w:hint="eastAsia" w:ascii="Arial" w:hAnsi="Arial" w:cs="Arial"/>
          <w:b/>
          <w:bCs/>
          <w:sz w:val="24"/>
        </w:rPr>
        <w:t>3</w:t>
      </w:r>
      <w:r>
        <w:rPr>
          <w:rFonts w:ascii="Arial" w:hAnsi="Arial" w:cs="Arial"/>
          <w:b/>
          <w:bCs/>
          <w:sz w:val="24"/>
        </w:rPr>
        <w:t>.1.3.3名称和摘要翻译要求</w:t>
      </w:r>
    </w:p>
    <w:p>
      <w:pPr>
        <w:keepNext/>
        <w:keepLines/>
        <w:spacing w:before="240" w:after="64" w:line="360" w:lineRule="auto"/>
        <w:outlineLvl w:val="5"/>
        <w:rPr>
          <w:rFonts w:ascii="Arial" w:hAnsi="Arial" w:cs="Arial"/>
          <w:bCs/>
          <w:sz w:val="24"/>
        </w:rPr>
      </w:pPr>
      <w:r>
        <w:rPr>
          <w:rFonts w:ascii="Arial" w:hAnsi="Arial" w:cs="Arial"/>
          <w:bCs/>
          <w:sz w:val="24"/>
        </w:rPr>
        <w:t>3.</w:t>
      </w:r>
      <w:r>
        <w:rPr>
          <w:rFonts w:hint="eastAsia" w:ascii="Arial" w:hAnsi="Arial" w:cs="Arial"/>
          <w:bCs/>
          <w:sz w:val="24"/>
        </w:rPr>
        <w:t>3</w:t>
      </w:r>
      <w:r>
        <w:rPr>
          <w:rFonts w:ascii="Arial" w:hAnsi="Arial" w:cs="Arial"/>
          <w:bCs/>
          <w:sz w:val="24"/>
        </w:rPr>
        <w:t>.1.3.3.1 术语要求</w:t>
      </w:r>
    </w:p>
    <w:p>
      <w:pPr>
        <w:spacing w:line="360" w:lineRule="auto"/>
        <w:ind w:firstLine="480" w:firstLineChars="200"/>
        <w:rPr>
          <w:rFonts w:ascii="Arial" w:hAnsi="Arial" w:cs="Arial"/>
          <w:bCs/>
          <w:sz w:val="24"/>
        </w:rPr>
      </w:pPr>
      <w:r>
        <w:rPr>
          <w:rFonts w:ascii="Arial" w:hAnsi="Arial" w:cs="Arial"/>
          <w:bCs/>
          <w:sz w:val="24"/>
        </w:rPr>
        <w:t>选用准确的术语。名称和摘要中的术语译文应通篇保持一致。选用的术语应符合领域特点。</w:t>
      </w:r>
    </w:p>
    <w:p>
      <w:pPr>
        <w:keepNext/>
        <w:keepLines/>
        <w:spacing w:before="240" w:after="64" w:line="360" w:lineRule="auto"/>
        <w:outlineLvl w:val="5"/>
        <w:rPr>
          <w:rFonts w:ascii="Arial" w:hAnsi="Arial" w:cs="Arial"/>
          <w:bCs/>
          <w:sz w:val="24"/>
        </w:rPr>
      </w:pPr>
      <w:r>
        <w:rPr>
          <w:rFonts w:ascii="Arial" w:hAnsi="Arial" w:cs="Arial"/>
          <w:bCs/>
          <w:sz w:val="24"/>
        </w:rPr>
        <w:t>3.</w:t>
      </w:r>
      <w:r>
        <w:rPr>
          <w:rFonts w:hint="eastAsia" w:ascii="Arial" w:hAnsi="Arial" w:cs="Arial"/>
          <w:bCs/>
          <w:sz w:val="24"/>
        </w:rPr>
        <w:t>3</w:t>
      </w:r>
      <w:r>
        <w:rPr>
          <w:rFonts w:ascii="Arial" w:hAnsi="Arial" w:cs="Arial"/>
          <w:bCs/>
          <w:sz w:val="24"/>
        </w:rPr>
        <w:t>.1.3.3.2 语义要求</w:t>
      </w:r>
    </w:p>
    <w:p>
      <w:pPr>
        <w:spacing w:line="360" w:lineRule="auto"/>
        <w:ind w:firstLine="480" w:firstLineChars="200"/>
        <w:rPr>
          <w:rFonts w:ascii="Arial" w:hAnsi="Arial" w:cs="Arial"/>
          <w:bCs/>
          <w:sz w:val="24"/>
        </w:rPr>
      </w:pPr>
      <w:r>
        <w:rPr>
          <w:rFonts w:ascii="Arial" w:hAnsi="Arial" w:cs="Arial"/>
          <w:bCs/>
          <w:sz w:val="24"/>
        </w:rPr>
        <w:t>译文应完整、准确地表达原文信息，避免句段漏译，保证对技术主题和技术方案信息传递的准确性。译文应针对专利文献的文体特点与撰写方式，选用恰当的专利惯用表达方式。译文应逻辑清晰合理，传递原文信息。译文结构应清楚反映原文语句间的逻辑关系，通顺流畅；指代关系应明确清晰。</w:t>
      </w:r>
    </w:p>
    <w:p>
      <w:pPr>
        <w:keepNext/>
        <w:keepLines/>
        <w:spacing w:before="240" w:after="64" w:line="360" w:lineRule="auto"/>
        <w:outlineLvl w:val="5"/>
        <w:rPr>
          <w:rFonts w:ascii="Arial" w:hAnsi="Arial" w:cs="Arial"/>
          <w:bCs/>
          <w:sz w:val="24"/>
        </w:rPr>
      </w:pPr>
      <w:r>
        <w:rPr>
          <w:rFonts w:ascii="Arial" w:hAnsi="Arial" w:cs="Arial"/>
          <w:bCs/>
          <w:sz w:val="24"/>
        </w:rPr>
        <w:t>3.</w:t>
      </w:r>
      <w:r>
        <w:rPr>
          <w:rFonts w:hint="eastAsia" w:ascii="Arial" w:hAnsi="Arial" w:cs="Arial"/>
          <w:bCs/>
          <w:sz w:val="24"/>
        </w:rPr>
        <w:t>3</w:t>
      </w:r>
      <w:r>
        <w:rPr>
          <w:rFonts w:ascii="Arial" w:hAnsi="Arial" w:cs="Arial"/>
          <w:bCs/>
          <w:sz w:val="24"/>
        </w:rPr>
        <w:t>.1.3.3.3 格式要求</w:t>
      </w:r>
    </w:p>
    <w:p>
      <w:pPr>
        <w:spacing w:line="360" w:lineRule="auto"/>
        <w:ind w:firstLine="480" w:firstLineChars="200"/>
        <w:rPr>
          <w:rFonts w:ascii="Arial" w:hAnsi="Arial" w:cs="Arial"/>
          <w:bCs/>
          <w:sz w:val="24"/>
        </w:rPr>
      </w:pPr>
      <w:r>
        <w:rPr>
          <w:rFonts w:ascii="Arial" w:hAnsi="Arial" w:cs="Arial"/>
          <w:bCs/>
          <w:sz w:val="24"/>
        </w:rPr>
        <w:t>译文的格式应符合目标语言的格式规范。译文的符号应符合目标语言的符号使用标准和通用惯例。</w:t>
      </w:r>
    </w:p>
    <w:p>
      <w:pPr>
        <w:keepNext/>
        <w:keepLines/>
        <w:spacing w:before="260" w:after="260" w:line="360" w:lineRule="auto"/>
        <w:outlineLvl w:val="2"/>
        <w:rPr>
          <w:rFonts w:ascii="Arial" w:hAnsi="Arial" w:cs="Arial"/>
          <w:b/>
          <w:bCs/>
          <w:kern w:val="0"/>
          <w:sz w:val="24"/>
        </w:rPr>
      </w:pPr>
      <w:r>
        <w:rPr>
          <w:rFonts w:ascii="Arial" w:hAnsi="Arial" w:cs="Arial"/>
          <w:b/>
          <w:bCs/>
          <w:kern w:val="0"/>
          <w:sz w:val="24"/>
        </w:rPr>
        <w:t>3.</w:t>
      </w:r>
      <w:r>
        <w:rPr>
          <w:rFonts w:hint="eastAsia" w:ascii="Arial" w:hAnsi="Arial" w:cs="Arial"/>
          <w:b/>
          <w:bCs/>
          <w:kern w:val="0"/>
          <w:sz w:val="24"/>
        </w:rPr>
        <w:t>3</w:t>
      </w:r>
      <w:r>
        <w:rPr>
          <w:rFonts w:ascii="Arial" w:hAnsi="Arial" w:cs="Arial"/>
          <w:b/>
          <w:bCs/>
          <w:kern w:val="0"/>
          <w:sz w:val="24"/>
        </w:rPr>
        <w:t>.</w:t>
      </w:r>
      <w:r>
        <w:rPr>
          <w:rFonts w:hint="eastAsia" w:ascii="Arial" w:hAnsi="Arial" w:cs="Arial"/>
          <w:b/>
          <w:bCs/>
          <w:kern w:val="0"/>
          <w:sz w:val="24"/>
        </w:rPr>
        <w:t>2</w:t>
      </w:r>
      <w:r>
        <w:rPr>
          <w:rFonts w:ascii="Arial" w:hAnsi="Arial" w:cs="Arial"/>
          <w:b/>
          <w:bCs/>
          <w:kern w:val="0"/>
          <w:sz w:val="24"/>
        </w:rPr>
        <w:t>外文</w:t>
      </w:r>
      <w:r>
        <w:rPr>
          <w:rFonts w:hint="eastAsia" w:ascii="Arial" w:hAnsi="Arial" w:cs="Arial"/>
          <w:b/>
          <w:bCs/>
          <w:kern w:val="0"/>
          <w:sz w:val="24"/>
        </w:rPr>
        <w:t>专利</w:t>
      </w:r>
      <w:r>
        <w:rPr>
          <w:rFonts w:ascii="Arial" w:hAnsi="Arial" w:cs="Arial"/>
          <w:b/>
          <w:bCs/>
          <w:kern w:val="0"/>
          <w:sz w:val="24"/>
        </w:rPr>
        <w:t>文献翻译</w:t>
      </w:r>
    </w:p>
    <w:p>
      <w:pPr>
        <w:keepNext/>
        <w:keepLines/>
        <w:spacing w:before="280" w:after="290" w:line="360" w:lineRule="auto"/>
        <w:outlineLvl w:val="3"/>
        <w:rPr>
          <w:rFonts w:ascii="Arial" w:hAnsi="Arial" w:cs="Arial"/>
          <w:bCs/>
          <w:kern w:val="0"/>
          <w:sz w:val="24"/>
        </w:rPr>
      </w:pPr>
      <w:r>
        <w:rPr>
          <w:rFonts w:ascii="Arial" w:hAnsi="Arial" w:cs="Arial"/>
          <w:bCs/>
          <w:kern w:val="0"/>
          <w:sz w:val="24"/>
        </w:rPr>
        <w:t>3.</w:t>
      </w:r>
      <w:r>
        <w:rPr>
          <w:rFonts w:hint="eastAsia" w:ascii="Arial" w:hAnsi="Arial" w:cs="Arial"/>
          <w:bCs/>
          <w:kern w:val="0"/>
          <w:sz w:val="24"/>
        </w:rPr>
        <w:t>3</w:t>
      </w:r>
      <w:r>
        <w:rPr>
          <w:rFonts w:ascii="Arial" w:hAnsi="Arial" w:cs="Arial"/>
          <w:bCs/>
          <w:kern w:val="0"/>
          <w:sz w:val="24"/>
        </w:rPr>
        <w:t>.</w:t>
      </w:r>
      <w:r>
        <w:rPr>
          <w:rFonts w:hint="eastAsia" w:ascii="Arial" w:hAnsi="Arial" w:cs="Arial"/>
          <w:bCs/>
          <w:kern w:val="0"/>
          <w:sz w:val="24"/>
        </w:rPr>
        <w:t>2</w:t>
      </w:r>
      <w:r>
        <w:rPr>
          <w:rFonts w:ascii="Arial" w:hAnsi="Arial" w:cs="Arial"/>
          <w:bCs/>
          <w:kern w:val="0"/>
          <w:sz w:val="24"/>
        </w:rPr>
        <w:t xml:space="preserve">.1 </w:t>
      </w:r>
      <w:r>
        <w:rPr>
          <w:rFonts w:hint="eastAsia" w:ascii="Arial" w:hAnsi="Arial" w:cs="Arial"/>
          <w:bCs/>
          <w:kern w:val="0"/>
          <w:sz w:val="24"/>
        </w:rPr>
        <w:t>数据源</w:t>
      </w:r>
    </w:p>
    <w:p>
      <w:pPr>
        <w:spacing w:line="360" w:lineRule="auto"/>
        <w:ind w:firstLine="480" w:firstLineChars="200"/>
        <w:rPr>
          <w:rFonts w:ascii="Arial" w:hAnsi="Arial" w:cs="Arial"/>
          <w:bCs/>
          <w:sz w:val="24"/>
        </w:rPr>
      </w:pPr>
      <w:r>
        <w:rPr>
          <w:rFonts w:ascii="Arial" w:hAnsi="Arial" w:cs="Arial"/>
          <w:bCs/>
          <w:sz w:val="24"/>
        </w:rPr>
        <w:t>将</w:t>
      </w:r>
      <w:r>
        <w:rPr>
          <w:rFonts w:ascii="Arial" w:hAnsi="Arial" w:cs="Arial"/>
          <w:bCs/>
          <w:sz w:val="24"/>
          <w:szCs w:val="21"/>
        </w:rPr>
        <w:t>中国专利智能审查和检索系</w:t>
      </w:r>
      <w:r>
        <w:rPr>
          <w:rFonts w:hint="eastAsia" w:ascii="Arial" w:hAnsi="Arial" w:cs="Arial"/>
          <w:bCs/>
          <w:sz w:val="24"/>
          <w:szCs w:val="21"/>
        </w:rPr>
        <w:t>统</w:t>
      </w:r>
      <w:r>
        <w:rPr>
          <w:rFonts w:ascii="Arial" w:hAnsi="Arial" w:cs="Arial"/>
          <w:bCs/>
          <w:sz w:val="24"/>
        </w:rPr>
        <w:t>数据库</w:t>
      </w:r>
      <w:r>
        <w:rPr>
          <w:rFonts w:hint="eastAsia" w:ascii="Arial" w:hAnsi="Arial" w:cs="Arial"/>
          <w:bCs/>
          <w:sz w:val="24"/>
        </w:rPr>
        <w:t>中的</w:t>
      </w:r>
      <w:r>
        <w:rPr>
          <w:rFonts w:ascii="Arial" w:hAnsi="Arial" w:cs="Arial"/>
          <w:bCs/>
          <w:sz w:val="24"/>
        </w:rPr>
        <w:t>JP</w:t>
      </w:r>
      <w:r>
        <w:rPr>
          <w:rFonts w:hint="eastAsia" w:ascii="Arial" w:hAnsi="Arial" w:cs="Arial"/>
          <w:bCs/>
          <w:sz w:val="24"/>
        </w:rPr>
        <w:t>专利</w:t>
      </w:r>
      <w:r>
        <w:rPr>
          <w:rFonts w:ascii="Arial" w:hAnsi="Arial" w:cs="Arial"/>
          <w:bCs/>
          <w:sz w:val="24"/>
        </w:rPr>
        <w:t>库中的外文名称、摘要、全文数据进行中文翻译（入库时间截至2024年9月</w:t>
      </w:r>
      <w:r>
        <w:rPr>
          <w:rFonts w:hint="eastAsia" w:ascii="Arial" w:hAnsi="Arial" w:cs="Arial"/>
          <w:bCs/>
          <w:sz w:val="24"/>
        </w:rPr>
        <w:t>30日</w:t>
      </w:r>
      <w:r>
        <w:rPr>
          <w:rFonts w:ascii="Arial" w:hAnsi="Arial" w:cs="Arial"/>
          <w:bCs/>
          <w:sz w:val="24"/>
        </w:rPr>
        <w:t>），预计加工量约为950万件</w:t>
      </w:r>
      <w:r>
        <w:rPr>
          <w:rFonts w:hint="eastAsia" w:ascii="Arial" w:hAnsi="Arial" w:cs="Arial"/>
          <w:bCs/>
          <w:sz w:val="24"/>
        </w:rPr>
        <w:t xml:space="preserve">， </w:t>
      </w:r>
      <w:r>
        <w:rPr>
          <w:rFonts w:ascii="Arial" w:hAnsi="Arial" w:cs="Arial"/>
          <w:bCs/>
          <w:sz w:val="24"/>
        </w:rPr>
        <w:t>最终加工量以实际发生为准。</w:t>
      </w:r>
    </w:p>
    <w:p>
      <w:pPr>
        <w:spacing w:line="360" w:lineRule="auto"/>
        <w:ind w:firstLine="480" w:firstLineChars="200"/>
        <w:rPr>
          <w:rFonts w:ascii="Arial" w:hAnsi="Arial" w:cs="Arial"/>
          <w:bCs/>
          <w:sz w:val="24"/>
        </w:rPr>
      </w:pPr>
      <w:r>
        <w:rPr>
          <w:rFonts w:ascii="Arial" w:hAnsi="Arial" w:cs="Arial"/>
          <w:bCs/>
          <w:sz w:val="24"/>
        </w:rPr>
        <w:t>投标人应统筹负责源数据校验，验证源数据的完整性、可用性和一致性。投标人对于发现的源数据错误应作标记，并保证及时通知招标人。</w:t>
      </w:r>
    </w:p>
    <w:p>
      <w:pPr>
        <w:keepNext/>
        <w:keepLines/>
        <w:spacing w:before="280" w:after="290" w:line="360" w:lineRule="auto"/>
        <w:outlineLvl w:val="3"/>
        <w:rPr>
          <w:rFonts w:ascii="Arial" w:hAnsi="Arial" w:cs="Arial"/>
          <w:bCs/>
          <w:kern w:val="0"/>
          <w:sz w:val="24"/>
        </w:rPr>
      </w:pPr>
      <w:r>
        <w:rPr>
          <w:rFonts w:ascii="Arial" w:hAnsi="Arial" w:cs="Arial"/>
          <w:bCs/>
          <w:kern w:val="0"/>
          <w:sz w:val="24"/>
        </w:rPr>
        <w:t>3.</w:t>
      </w:r>
      <w:r>
        <w:rPr>
          <w:rFonts w:hint="eastAsia" w:ascii="Arial" w:hAnsi="Arial" w:cs="Arial"/>
          <w:bCs/>
          <w:kern w:val="0"/>
          <w:sz w:val="24"/>
        </w:rPr>
        <w:t>3</w:t>
      </w:r>
      <w:r>
        <w:rPr>
          <w:rFonts w:ascii="Arial" w:hAnsi="Arial" w:cs="Arial"/>
          <w:bCs/>
          <w:kern w:val="0"/>
          <w:sz w:val="24"/>
        </w:rPr>
        <w:t>.</w:t>
      </w:r>
      <w:r>
        <w:rPr>
          <w:rFonts w:hint="eastAsia" w:ascii="Arial" w:hAnsi="Arial" w:cs="Arial"/>
          <w:bCs/>
          <w:kern w:val="0"/>
          <w:sz w:val="24"/>
        </w:rPr>
        <w:t>2</w:t>
      </w:r>
      <w:r>
        <w:rPr>
          <w:rFonts w:ascii="Arial" w:hAnsi="Arial" w:cs="Arial"/>
          <w:bCs/>
          <w:kern w:val="0"/>
          <w:sz w:val="24"/>
        </w:rPr>
        <w:t>.2 翻译方法</w:t>
      </w:r>
    </w:p>
    <w:p>
      <w:pPr>
        <w:spacing w:line="360" w:lineRule="auto"/>
        <w:ind w:firstLine="480" w:firstLineChars="200"/>
        <w:rPr>
          <w:rFonts w:ascii="Arial" w:hAnsi="Arial" w:cs="Arial"/>
          <w:bCs/>
          <w:sz w:val="24"/>
        </w:rPr>
      </w:pPr>
      <w:r>
        <w:rPr>
          <w:rFonts w:ascii="Arial" w:hAnsi="Arial" w:cs="Arial"/>
          <w:bCs/>
          <w:sz w:val="24"/>
        </w:rPr>
        <w:t>投标人应依据中华人民共和国教育部国家语言文字工作委员会－《机器翻译系统评测规范（GF2006）》的要求，对上述</w:t>
      </w:r>
      <w:r>
        <w:rPr>
          <w:rFonts w:hint="eastAsia" w:ascii="Arial" w:hAnsi="Arial" w:cs="Arial"/>
          <w:bCs/>
          <w:sz w:val="24"/>
        </w:rPr>
        <w:t>外文</w:t>
      </w:r>
      <w:r>
        <w:rPr>
          <w:rFonts w:ascii="Arial" w:hAnsi="Arial" w:cs="Arial"/>
          <w:bCs/>
          <w:sz w:val="24"/>
        </w:rPr>
        <w:t>专利文献进行翻译。</w:t>
      </w:r>
    </w:p>
    <w:p>
      <w:pPr>
        <w:keepNext/>
        <w:keepLines/>
        <w:spacing w:before="280" w:after="290" w:line="360" w:lineRule="auto"/>
        <w:outlineLvl w:val="3"/>
        <w:rPr>
          <w:rFonts w:ascii="Arial" w:hAnsi="Arial" w:cs="Arial"/>
          <w:b/>
          <w:bCs/>
          <w:kern w:val="0"/>
          <w:sz w:val="24"/>
        </w:rPr>
      </w:pPr>
      <w:r>
        <w:rPr>
          <w:rFonts w:ascii="Arial" w:hAnsi="Arial" w:cs="Arial"/>
          <w:bCs/>
          <w:kern w:val="0"/>
          <w:sz w:val="24"/>
        </w:rPr>
        <w:t>3.</w:t>
      </w:r>
      <w:r>
        <w:rPr>
          <w:rFonts w:hint="eastAsia" w:ascii="Arial" w:hAnsi="Arial" w:cs="Arial"/>
          <w:bCs/>
          <w:kern w:val="0"/>
          <w:sz w:val="24"/>
        </w:rPr>
        <w:t>3</w:t>
      </w:r>
      <w:r>
        <w:rPr>
          <w:rFonts w:ascii="Arial" w:hAnsi="Arial" w:cs="Arial"/>
          <w:bCs/>
          <w:kern w:val="0"/>
          <w:sz w:val="24"/>
        </w:rPr>
        <w:t>.</w:t>
      </w:r>
      <w:r>
        <w:rPr>
          <w:rFonts w:hint="eastAsia" w:ascii="Arial" w:hAnsi="Arial" w:cs="Arial"/>
          <w:bCs/>
          <w:kern w:val="0"/>
          <w:sz w:val="24"/>
        </w:rPr>
        <w:t>2</w:t>
      </w:r>
      <w:r>
        <w:rPr>
          <w:rFonts w:ascii="Arial" w:hAnsi="Arial" w:cs="Arial"/>
          <w:bCs/>
          <w:kern w:val="0"/>
          <w:sz w:val="24"/>
        </w:rPr>
        <w:t>.3 翻译要求</w:t>
      </w:r>
    </w:p>
    <w:p>
      <w:pPr>
        <w:spacing w:line="360" w:lineRule="auto"/>
        <w:ind w:firstLine="480" w:firstLineChars="200"/>
        <w:rPr>
          <w:rFonts w:ascii="Arial" w:hAnsi="Arial" w:cs="Arial"/>
          <w:bCs/>
          <w:sz w:val="24"/>
        </w:rPr>
      </w:pPr>
      <w:r>
        <w:rPr>
          <w:rFonts w:hint="eastAsia" w:ascii="Arial" w:hAnsi="Arial" w:cs="Arial"/>
          <w:bCs/>
          <w:sz w:val="24"/>
        </w:rPr>
        <w:t>投标人应对多类型外文专利文献的源数据进行数据分析，采取恰当的翻译前处理和后处理策略，确保翻译质量。</w:t>
      </w:r>
    </w:p>
    <w:p>
      <w:pPr>
        <w:spacing w:line="360" w:lineRule="auto"/>
        <w:ind w:firstLine="480" w:firstLineChars="200"/>
        <w:rPr>
          <w:rFonts w:ascii="Arial" w:hAnsi="Arial" w:cs="Arial"/>
          <w:bCs/>
          <w:sz w:val="24"/>
        </w:rPr>
      </w:pPr>
      <w:r>
        <w:rPr>
          <w:rFonts w:ascii="Arial" w:hAnsi="Arial" w:cs="Arial"/>
          <w:bCs/>
          <w:sz w:val="24"/>
        </w:rPr>
        <w:t>译文应完整、准确地表达原文信息，保证对技术主题和技术方案信息传递的准确性。译文应针对专利文献的文体特点与撰写方式，选用恰当的专利惯用表达方式，行文结构应符合专利文献撰写的行业、专业通用标准或习惯。译文应清楚反映原文语句间的逻辑关系，语序处理使翻译结果流畅，译文能准确流畅地传达原文信息。译文格式应符合目标语言的格式规范，译文符号应符合目标语言的符号使用标准和通用惯例。</w:t>
      </w:r>
    </w:p>
    <w:p>
      <w:pPr>
        <w:keepNext/>
        <w:keepLines/>
        <w:spacing w:before="260" w:after="260" w:line="360" w:lineRule="auto"/>
        <w:outlineLvl w:val="2"/>
        <w:rPr>
          <w:rFonts w:ascii="Arial" w:hAnsi="Arial" w:cs="Arial"/>
          <w:b/>
          <w:bCs/>
          <w:kern w:val="0"/>
          <w:sz w:val="24"/>
        </w:rPr>
      </w:pPr>
      <w:r>
        <w:rPr>
          <w:rFonts w:ascii="Arial" w:hAnsi="Arial" w:cs="Arial"/>
          <w:b/>
          <w:bCs/>
          <w:kern w:val="0"/>
          <w:sz w:val="24"/>
        </w:rPr>
        <w:t>3.</w:t>
      </w:r>
      <w:r>
        <w:rPr>
          <w:rFonts w:hint="eastAsia" w:ascii="Arial" w:hAnsi="Arial" w:cs="Arial"/>
          <w:b/>
          <w:bCs/>
          <w:kern w:val="0"/>
          <w:sz w:val="24"/>
        </w:rPr>
        <w:t>3</w:t>
      </w:r>
      <w:r>
        <w:rPr>
          <w:rFonts w:ascii="Arial" w:hAnsi="Arial" w:cs="Arial"/>
          <w:b/>
          <w:bCs/>
          <w:kern w:val="0"/>
          <w:sz w:val="24"/>
        </w:rPr>
        <w:t>.</w:t>
      </w:r>
      <w:r>
        <w:rPr>
          <w:rFonts w:hint="eastAsia" w:ascii="Arial" w:hAnsi="Arial" w:cs="Arial"/>
          <w:b/>
          <w:bCs/>
          <w:kern w:val="0"/>
          <w:sz w:val="24"/>
        </w:rPr>
        <w:t>3</w:t>
      </w:r>
      <w:r>
        <w:rPr>
          <w:rFonts w:ascii="Arial" w:hAnsi="Arial" w:cs="Arial"/>
          <w:b/>
          <w:bCs/>
          <w:kern w:val="0"/>
          <w:sz w:val="24"/>
        </w:rPr>
        <w:t xml:space="preserve"> 数据处理</w:t>
      </w:r>
    </w:p>
    <w:p>
      <w:pPr>
        <w:spacing w:line="360" w:lineRule="auto"/>
        <w:ind w:firstLine="420"/>
        <w:rPr>
          <w:rFonts w:ascii="Arial" w:hAnsi="Arial" w:cs="Arial"/>
          <w:bCs/>
          <w:sz w:val="24"/>
        </w:rPr>
      </w:pPr>
      <w:r>
        <w:rPr>
          <w:rFonts w:ascii="Arial" w:hAnsi="Arial" w:cs="Arial"/>
          <w:bCs/>
          <w:sz w:val="24"/>
        </w:rPr>
        <w:t>投标人应对中国专利文献和外文</w:t>
      </w:r>
      <w:r>
        <w:rPr>
          <w:rFonts w:hint="eastAsia" w:ascii="Arial" w:hAnsi="Arial" w:cs="Arial"/>
          <w:bCs/>
          <w:sz w:val="24"/>
        </w:rPr>
        <w:t>专利</w:t>
      </w:r>
      <w:r>
        <w:rPr>
          <w:rFonts w:ascii="Arial" w:hAnsi="Arial" w:cs="Arial"/>
          <w:bCs/>
          <w:sz w:val="24"/>
        </w:rPr>
        <w:t>文献的源数据进行数据分析，采取翻译前处理和后处理策略，确保翻译质量。</w:t>
      </w:r>
    </w:p>
    <w:p>
      <w:pPr>
        <w:spacing w:line="360" w:lineRule="auto"/>
        <w:ind w:firstLine="420"/>
        <w:rPr>
          <w:rFonts w:ascii="Arial" w:hAnsi="Arial" w:cs="Arial"/>
          <w:bCs/>
          <w:sz w:val="24"/>
        </w:rPr>
      </w:pPr>
      <w:r>
        <w:rPr>
          <w:rFonts w:ascii="Arial" w:hAnsi="Arial" w:cs="Arial"/>
          <w:bCs/>
          <w:sz w:val="24"/>
        </w:rPr>
        <w:t>投标人应依据《专利文献数据规范（ZC 0014—2012）》中相关元素及DTD的规定，对源数据进行接收、下载、解压、入库后，开展XML文件解析、文本提取、数据格式处理等数据前处理工作，确保数据的完整性</w:t>
      </w:r>
      <w:r>
        <w:rPr>
          <w:rFonts w:hint="eastAsia" w:ascii="Arial" w:hAnsi="Arial" w:cs="Arial"/>
          <w:bCs/>
          <w:sz w:val="24"/>
        </w:rPr>
        <w:t>和</w:t>
      </w:r>
      <w:r>
        <w:rPr>
          <w:rFonts w:ascii="Arial" w:hAnsi="Arial" w:cs="Arial"/>
          <w:bCs/>
          <w:sz w:val="24"/>
        </w:rPr>
        <w:t>可用性；在数据后处理环节，投标人对翻译后的数据进行解析，开展数据检测操作，确保全部翻译后的数据均符合要求。</w:t>
      </w:r>
    </w:p>
    <w:p>
      <w:pPr>
        <w:spacing w:line="360" w:lineRule="auto"/>
        <w:ind w:firstLine="420"/>
        <w:rPr>
          <w:rFonts w:ascii="Arial" w:hAnsi="Arial" w:cs="Arial"/>
          <w:bCs/>
          <w:sz w:val="24"/>
        </w:rPr>
      </w:pPr>
      <w:r>
        <w:rPr>
          <w:rFonts w:ascii="Arial" w:hAnsi="Arial" w:cs="Arial"/>
          <w:bCs/>
          <w:sz w:val="24"/>
        </w:rPr>
        <w:t>投标人应对中国专利文献翻译后数据进行标准化加工，生成包括XML格式的数据文件、附图数据、数据索引和说明文件的电子文本。经标准化加工后的中国专利文献英文翻译数据，投标人应利用XML文件中提供的公开号信息进行文件的标准化命名，同时需要与翻译数据对应的中文文本数据进行比对，确保翻译与文本采用唯一的标准号（包括申请日、申请号、公开日、公开号）。</w:t>
      </w:r>
    </w:p>
    <w:p>
      <w:pPr>
        <w:pStyle w:val="4"/>
      </w:pPr>
    </w:p>
    <w:p>
      <w:pPr>
        <w:keepNext/>
        <w:keepLines/>
        <w:spacing w:before="260" w:after="260" w:line="360" w:lineRule="auto"/>
        <w:outlineLvl w:val="2"/>
        <w:rPr>
          <w:rFonts w:ascii="Arial" w:hAnsi="Arial" w:cs="Arial"/>
          <w:b/>
          <w:bCs/>
          <w:kern w:val="0"/>
          <w:sz w:val="24"/>
        </w:rPr>
      </w:pPr>
      <w:r>
        <w:rPr>
          <w:rFonts w:ascii="Arial" w:hAnsi="Arial" w:cs="Arial"/>
          <w:b/>
          <w:bCs/>
          <w:kern w:val="0"/>
          <w:sz w:val="24"/>
        </w:rPr>
        <w:t>3.</w:t>
      </w:r>
      <w:r>
        <w:rPr>
          <w:rFonts w:hint="eastAsia" w:ascii="Arial" w:hAnsi="Arial" w:cs="Arial"/>
          <w:b/>
          <w:bCs/>
          <w:kern w:val="0"/>
          <w:sz w:val="24"/>
        </w:rPr>
        <w:t>3</w:t>
      </w:r>
      <w:r>
        <w:rPr>
          <w:rFonts w:ascii="Arial" w:hAnsi="Arial" w:cs="Arial"/>
          <w:b/>
          <w:bCs/>
          <w:kern w:val="0"/>
          <w:sz w:val="24"/>
        </w:rPr>
        <w:t>.</w:t>
      </w:r>
      <w:r>
        <w:rPr>
          <w:rFonts w:hint="eastAsia" w:ascii="Arial" w:hAnsi="Arial" w:cs="Arial"/>
          <w:b/>
          <w:bCs/>
          <w:kern w:val="0"/>
          <w:sz w:val="24"/>
        </w:rPr>
        <w:t>4</w:t>
      </w:r>
      <w:r>
        <w:rPr>
          <w:rFonts w:ascii="Arial" w:hAnsi="Arial" w:cs="Arial"/>
          <w:b/>
          <w:bCs/>
          <w:kern w:val="0"/>
          <w:sz w:val="24"/>
        </w:rPr>
        <w:t xml:space="preserve"> 内部质检</w:t>
      </w:r>
    </w:p>
    <w:p>
      <w:pPr>
        <w:spacing w:line="360" w:lineRule="auto"/>
        <w:ind w:firstLine="480" w:firstLineChars="200"/>
        <w:rPr>
          <w:rFonts w:ascii="Arial" w:hAnsi="Arial" w:cs="Arial"/>
          <w:bCs/>
          <w:sz w:val="24"/>
        </w:rPr>
      </w:pPr>
      <w:r>
        <w:rPr>
          <w:rFonts w:hint="eastAsia" w:ascii="Arial" w:hAnsi="Arial" w:cs="Arial"/>
          <w:bCs/>
          <w:sz w:val="24"/>
        </w:rPr>
        <w:t>1、投标人统筹负责项目分包任务的质量监控和管理。</w:t>
      </w:r>
    </w:p>
    <w:p>
      <w:pPr>
        <w:spacing w:line="360" w:lineRule="auto"/>
        <w:ind w:firstLine="480" w:firstLineChars="200"/>
        <w:rPr>
          <w:rFonts w:ascii="Arial" w:hAnsi="Arial" w:cs="Arial"/>
          <w:bCs/>
          <w:sz w:val="24"/>
        </w:rPr>
      </w:pPr>
      <w:r>
        <w:rPr>
          <w:rFonts w:hint="eastAsia" w:ascii="Arial" w:hAnsi="Arial" w:cs="Arial"/>
          <w:bCs/>
          <w:sz w:val="24"/>
        </w:rPr>
        <w:t>2、投标人应对加工完成的成品数据进行质检。</w:t>
      </w:r>
    </w:p>
    <w:p>
      <w:pPr>
        <w:spacing w:line="360" w:lineRule="auto"/>
        <w:ind w:firstLine="480" w:firstLineChars="200"/>
        <w:rPr>
          <w:rFonts w:ascii="Arial" w:hAnsi="Arial" w:cs="Arial"/>
          <w:bCs/>
          <w:sz w:val="24"/>
        </w:rPr>
      </w:pPr>
      <w:r>
        <w:rPr>
          <w:rFonts w:hint="eastAsia" w:ascii="Arial" w:hAnsi="Arial" w:cs="Arial"/>
          <w:bCs/>
          <w:sz w:val="24"/>
        </w:rPr>
        <w:t>3、对质检不合格的数据批次返回重新加工。</w:t>
      </w:r>
    </w:p>
    <w:p>
      <w:pPr>
        <w:keepNext/>
        <w:keepLines/>
        <w:spacing w:before="260" w:after="260" w:line="360" w:lineRule="auto"/>
        <w:outlineLvl w:val="2"/>
        <w:rPr>
          <w:rFonts w:ascii="Arial" w:hAnsi="Arial" w:cs="Arial"/>
          <w:b/>
          <w:bCs/>
          <w:kern w:val="0"/>
          <w:sz w:val="24"/>
        </w:rPr>
      </w:pPr>
      <w:r>
        <w:rPr>
          <w:rFonts w:ascii="Arial" w:hAnsi="Arial" w:cs="Arial"/>
          <w:b/>
          <w:bCs/>
          <w:kern w:val="0"/>
          <w:sz w:val="24"/>
        </w:rPr>
        <w:t>3.</w:t>
      </w:r>
      <w:r>
        <w:rPr>
          <w:rFonts w:hint="eastAsia" w:ascii="Arial" w:hAnsi="Arial" w:cs="Arial"/>
          <w:b/>
          <w:bCs/>
          <w:kern w:val="0"/>
          <w:sz w:val="24"/>
        </w:rPr>
        <w:t>3</w:t>
      </w:r>
      <w:r>
        <w:rPr>
          <w:rFonts w:ascii="Arial" w:hAnsi="Arial" w:cs="Arial"/>
          <w:b/>
          <w:bCs/>
          <w:kern w:val="0"/>
          <w:sz w:val="24"/>
        </w:rPr>
        <w:t>.</w:t>
      </w:r>
      <w:r>
        <w:rPr>
          <w:rFonts w:hint="eastAsia" w:ascii="Arial" w:hAnsi="Arial" w:cs="Arial"/>
          <w:b/>
          <w:bCs/>
          <w:kern w:val="0"/>
          <w:sz w:val="24"/>
        </w:rPr>
        <w:t>5</w:t>
      </w:r>
      <w:r>
        <w:rPr>
          <w:rFonts w:ascii="Arial" w:hAnsi="Arial" w:cs="Arial"/>
          <w:b/>
          <w:bCs/>
          <w:kern w:val="0"/>
          <w:sz w:val="24"/>
        </w:rPr>
        <w:t xml:space="preserve"> 数据交付</w:t>
      </w:r>
    </w:p>
    <w:p>
      <w:pPr>
        <w:spacing w:line="360" w:lineRule="auto"/>
        <w:ind w:firstLine="480" w:firstLineChars="200"/>
        <w:rPr>
          <w:rFonts w:ascii="Arial" w:hAnsi="Arial" w:cs="Arial"/>
          <w:sz w:val="24"/>
        </w:rPr>
      </w:pPr>
      <w:r>
        <w:rPr>
          <w:rFonts w:ascii="Arial" w:hAnsi="Arial" w:cs="Arial"/>
          <w:sz w:val="24"/>
        </w:rPr>
        <w:t>投标人统筹负责完成加工、整合及质检后，按照数据提交周期要求向招标人交付成品数据，提供按需定制的数据导出和分发服务。</w:t>
      </w:r>
    </w:p>
    <w:p>
      <w:pPr>
        <w:keepNext/>
        <w:keepLines/>
        <w:spacing w:before="260" w:after="260" w:line="360" w:lineRule="auto"/>
        <w:outlineLvl w:val="2"/>
        <w:rPr>
          <w:rFonts w:ascii="Arial" w:hAnsi="Arial" w:cs="Arial"/>
          <w:b/>
          <w:bCs/>
          <w:kern w:val="0"/>
          <w:sz w:val="24"/>
        </w:rPr>
      </w:pPr>
      <w:r>
        <w:rPr>
          <w:rFonts w:ascii="Arial" w:hAnsi="Arial" w:cs="Arial"/>
          <w:b/>
          <w:bCs/>
          <w:kern w:val="0"/>
          <w:sz w:val="24"/>
        </w:rPr>
        <w:t>3.</w:t>
      </w:r>
      <w:r>
        <w:rPr>
          <w:rFonts w:hint="eastAsia" w:ascii="Arial" w:hAnsi="Arial" w:cs="Arial"/>
          <w:b/>
          <w:bCs/>
          <w:kern w:val="0"/>
          <w:sz w:val="24"/>
        </w:rPr>
        <w:t>3</w:t>
      </w:r>
      <w:r>
        <w:rPr>
          <w:rFonts w:ascii="Arial" w:hAnsi="Arial" w:cs="Arial"/>
          <w:b/>
          <w:bCs/>
          <w:kern w:val="0"/>
          <w:sz w:val="24"/>
        </w:rPr>
        <w:t>.</w:t>
      </w:r>
      <w:r>
        <w:rPr>
          <w:rFonts w:hint="eastAsia" w:ascii="Arial" w:hAnsi="Arial" w:cs="Arial"/>
          <w:b/>
          <w:bCs/>
          <w:kern w:val="0"/>
          <w:sz w:val="24"/>
        </w:rPr>
        <w:t>6</w:t>
      </w:r>
      <w:r>
        <w:rPr>
          <w:rFonts w:ascii="Arial" w:hAnsi="Arial" w:cs="Arial"/>
          <w:b/>
          <w:bCs/>
          <w:kern w:val="0"/>
          <w:sz w:val="24"/>
        </w:rPr>
        <w:t>数据交付后的数据维护</w:t>
      </w:r>
    </w:p>
    <w:p>
      <w:pPr>
        <w:spacing w:line="360" w:lineRule="auto"/>
        <w:ind w:firstLine="480" w:firstLineChars="200"/>
        <w:rPr>
          <w:rFonts w:ascii="Arial" w:hAnsi="Arial" w:cs="Arial"/>
          <w:sz w:val="24"/>
        </w:rPr>
      </w:pPr>
      <w:r>
        <w:rPr>
          <w:rFonts w:ascii="Arial" w:hAnsi="Arial" w:cs="Arial"/>
          <w:sz w:val="24"/>
        </w:rPr>
        <w:t>对于已交付给招标人的数据，如招标人在验收及使用中发现缺漏或错误，无论合同期终止与否，投标人都应统筹负责免费给予补充或修改。投标人应统筹负责于0.5个小时之内响应，并于5个工作日内完成补充或修改，并经质检合格后交付招标人。</w:t>
      </w:r>
    </w:p>
    <w:p>
      <w:pPr>
        <w:spacing w:line="360" w:lineRule="auto"/>
        <w:ind w:firstLine="480" w:firstLineChars="200"/>
        <w:rPr>
          <w:rFonts w:ascii="Arial" w:hAnsi="Arial" w:cs="Arial"/>
          <w:bCs/>
          <w:sz w:val="24"/>
        </w:rPr>
      </w:pPr>
      <w:r>
        <w:rPr>
          <w:rFonts w:ascii="Arial" w:hAnsi="Arial" w:cs="Arial"/>
          <w:sz w:val="24"/>
        </w:rPr>
        <w:t>对于对外分发的数据，根据招标人反馈的数据问题进行问题核实，将核实结果反馈给招标人，并按照招标人的要求重新制作并分发数据。</w:t>
      </w:r>
    </w:p>
    <w:p>
      <w:pPr>
        <w:keepNext/>
        <w:keepLines/>
        <w:spacing w:before="260" w:after="260" w:line="360" w:lineRule="auto"/>
        <w:outlineLvl w:val="1"/>
        <w:rPr>
          <w:rFonts w:ascii="Arial" w:hAnsi="Arial" w:cs="Arial"/>
          <w:b/>
          <w:sz w:val="24"/>
        </w:rPr>
      </w:pPr>
      <w:r>
        <w:rPr>
          <w:rFonts w:ascii="Arial" w:hAnsi="Arial" w:cs="Arial"/>
          <w:b/>
          <w:bCs/>
          <w:sz w:val="24"/>
        </w:rPr>
        <w:t>3.</w:t>
      </w:r>
      <w:r>
        <w:rPr>
          <w:rFonts w:hint="eastAsia" w:ascii="Arial" w:hAnsi="Arial" w:cs="Arial"/>
          <w:b/>
          <w:bCs/>
          <w:sz w:val="24"/>
        </w:rPr>
        <w:t>4</w:t>
      </w:r>
      <w:r>
        <w:rPr>
          <w:rFonts w:ascii="Arial" w:hAnsi="Arial" w:cs="Arial"/>
          <w:b/>
          <w:bCs/>
          <w:sz w:val="24"/>
        </w:rPr>
        <w:t>交付物要求</w:t>
      </w:r>
    </w:p>
    <w:p>
      <w:pPr>
        <w:spacing w:line="360" w:lineRule="auto"/>
        <w:ind w:firstLine="480" w:firstLineChars="200"/>
        <w:rPr>
          <w:rFonts w:ascii="Arial" w:hAnsi="Arial" w:cs="Arial"/>
          <w:sz w:val="24"/>
        </w:rPr>
      </w:pPr>
      <w:r>
        <w:rPr>
          <w:rFonts w:ascii="Arial" w:hAnsi="Arial" w:cs="Arial"/>
          <w:sz w:val="24"/>
        </w:rPr>
        <w:t>3.4.1 投标人应统筹负责按本招标需求向招标人交付成品数据及其相关文件。其中，成品数据至少包括但不限于：</w:t>
      </w:r>
      <w:r>
        <w:rPr>
          <w:rFonts w:hint="eastAsia" w:ascii="Arial" w:hAnsi="Arial" w:cs="Arial"/>
          <w:sz w:val="24"/>
        </w:rPr>
        <w:t>XML</w:t>
      </w:r>
      <w:r>
        <w:rPr>
          <w:rFonts w:ascii="Arial" w:hAnsi="Arial" w:cs="Arial"/>
          <w:sz w:val="24"/>
        </w:rPr>
        <w:t>格式的数据文件、数据索引与数据说明文件；相关文件至少包括但不限于：数据分析报告、加工工作的月报、内部质检报告、加工工作量统计、接收数据源以及交付数据产品的交接记录单、数据入库的证明文件等，相关文件须签字并加盖公章。</w:t>
      </w:r>
    </w:p>
    <w:p>
      <w:pPr>
        <w:spacing w:line="360" w:lineRule="auto"/>
        <w:ind w:firstLine="480" w:firstLineChars="200"/>
        <w:rPr>
          <w:rFonts w:ascii="Arial" w:hAnsi="Arial" w:cs="Arial"/>
          <w:sz w:val="24"/>
        </w:rPr>
      </w:pPr>
      <w:r>
        <w:rPr>
          <w:rFonts w:ascii="Arial" w:hAnsi="Arial" w:cs="Arial"/>
          <w:sz w:val="24"/>
        </w:rPr>
        <w:t>3.4.2 所有工作成果（包括源数据、数据中间产品以及成品数据等）及其相关文件，以及因对工作成果及其任何部分进行检测所产生的数据，不论是否包含在工作说明中或被工作说明省略或遗漏，都被视为本项目下的交付物。</w:t>
      </w:r>
    </w:p>
    <w:p>
      <w:pPr>
        <w:spacing w:line="360" w:lineRule="auto"/>
        <w:ind w:firstLine="480" w:firstLineChars="200"/>
        <w:rPr>
          <w:rFonts w:ascii="Arial" w:hAnsi="Arial" w:cs="Arial"/>
          <w:sz w:val="24"/>
        </w:rPr>
      </w:pPr>
      <w:r>
        <w:rPr>
          <w:rFonts w:ascii="Arial" w:hAnsi="Arial" w:cs="Arial"/>
          <w:sz w:val="24"/>
        </w:rPr>
        <w:t>3.4.3 投标人应统筹负责每月向招标人提交上一个月的技术服务工作月报。工作月报应当全面地、具体地体现投标人自主加工和分包加工的上一个月的技术服务工作情况，其内容包括但不限于：投标人接收的源数据的类型和数量、投标人自主加工和分包加工实际完成的数据产品的类型和数量、数据产品质量是否符合合同要求、数据处理和加工的时间周期是否符合项目要求、项目进展等。同时，投标人需在项目服务时间内定期向招标人提交与本项目服务内容相关的新技术发展以及应用情况报告。</w:t>
      </w:r>
    </w:p>
    <w:p>
      <w:pPr>
        <w:spacing w:line="360" w:lineRule="auto"/>
        <w:ind w:firstLine="480" w:firstLineChars="200"/>
        <w:rPr>
          <w:rFonts w:ascii="Arial" w:hAnsi="Arial" w:cs="Arial"/>
          <w:sz w:val="24"/>
        </w:rPr>
      </w:pPr>
      <w:r>
        <w:rPr>
          <w:rFonts w:ascii="Arial" w:hAnsi="Arial" w:cs="Arial"/>
          <w:sz w:val="24"/>
        </w:rPr>
        <w:t>3.4.4 根据招标人的需要，招标人可以要求投标人针对本项目规定的技术服务时间内投标人统筹负责提供的数据产品和服务开展用户评价工作，在招标人规定的时间内向招标人提交用户评价报告。</w:t>
      </w:r>
    </w:p>
    <w:p>
      <w:pPr>
        <w:keepNext/>
        <w:keepLines/>
        <w:spacing w:before="260" w:after="260" w:line="360" w:lineRule="auto"/>
        <w:outlineLvl w:val="1"/>
        <w:rPr>
          <w:rFonts w:ascii="Arial" w:hAnsi="Arial" w:cs="Arial"/>
          <w:b/>
          <w:sz w:val="24"/>
        </w:rPr>
      </w:pPr>
      <w:r>
        <w:rPr>
          <w:rFonts w:ascii="Arial" w:hAnsi="Arial" w:cs="Arial"/>
          <w:b/>
          <w:bCs/>
          <w:sz w:val="24"/>
        </w:rPr>
        <w:t>3.</w:t>
      </w:r>
      <w:r>
        <w:rPr>
          <w:rFonts w:hint="eastAsia" w:ascii="Arial" w:hAnsi="Arial" w:cs="Arial"/>
          <w:b/>
          <w:bCs/>
          <w:sz w:val="24"/>
        </w:rPr>
        <w:t>5</w:t>
      </w:r>
      <w:r>
        <w:rPr>
          <w:rFonts w:ascii="Arial" w:hAnsi="Arial" w:cs="Arial"/>
          <w:b/>
          <w:bCs/>
          <w:sz w:val="24"/>
        </w:rPr>
        <w:t xml:space="preserve"> 项目质量及时限要求</w:t>
      </w:r>
    </w:p>
    <w:p>
      <w:pPr>
        <w:keepNext/>
        <w:keepLines/>
        <w:spacing w:before="260" w:after="260" w:line="360" w:lineRule="auto"/>
        <w:outlineLvl w:val="2"/>
        <w:rPr>
          <w:rFonts w:ascii="Arial" w:hAnsi="Arial" w:cs="Arial"/>
          <w:b/>
          <w:bCs/>
          <w:kern w:val="0"/>
          <w:sz w:val="24"/>
        </w:rPr>
      </w:pPr>
      <w:r>
        <w:rPr>
          <w:rFonts w:ascii="Arial" w:hAnsi="Arial" w:cs="Arial"/>
          <w:b/>
          <w:bCs/>
          <w:kern w:val="0"/>
          <w:sz w:val="24"/>
        </w:rPr>
        <w:t>3.</w:t>
      </w:r>
      <w:r>
        <w:rPr>
          <w:rFonts w:hint="eastAsia" w:ascii="Arial" w:hAnsi="Arial" w:cs="Arial"/>
          <w:b/>
          <w:bCs/>
          <w:kern w:val="0"/>
          <w:sz w:val="24"/>
        </w:rPr>
        <w:t>5</w:t>
      </w:r>
      <w:r>
        <w:rPr>
          <w:rFonts w:ascii="Arial" w:hAnsi="Arial" w:cs="Arial"/>
          <w:b/>
          <w:bCs/>
          <w:kern w:val="0"/>
          <w:sz w:val="24"/>
        </w:rPr>
        <w:t>.1准确性</w:t>
      </w:r>
    </w:p>
    <w:p>
      <w:pPr>
        <w:spacing w:line="360" w:lineRule="auto"/>
        <w:ind w:firstLine="480" w:firstLineChars="200"/>
        <w:rPr>
          <w:rFonts w:ascii="Arial" w:hAnsi="Arial" w:cs="Arial"/>
          <w:bCs/>
          <w:sz w:val="24"/>
        </w:rPr>
      </w:pPr>
      <w:r>
        <w:rPr>
          <w:rFonts w:ascii="Arial" w:hAnsi="Arial" w:cs="Arial"/>
          <w:bCs/>
          <w:sz w:val="24"/>
        </w:rPr>
        <w:t>投标人应保证交付数据的准确性，及时发现数据加工过程中的各种问题并予以纠正。</w:t>
      </w:r>
      <w:r>
        <w:rPr>
          <w:rFonts w:ascii="Arial" w:hAnsi="Arial" w:cs="Arial"/>
          <w:sz w:val="24"/>
        </w:rPr>
        <w:t>交付数据不得缺项、漏</w:t>
      </w:r>
      <w:r>
        <w:rPr>
          <w:rFonts w:ascii="Arial" w:hAnsi="Arial" w:cs="Arial"/>
          <w:bCs/>
          <w:sz w:val="24"/>
        </w:rPr>
        <w:t>项。具体质量标准如下：</w:t>
      </w:r>
    </w:p>
    <w:p>
      <w:pPr>
        <w:spacing w:line="360" w:lineRule="auto"/>
        <w:ind w:firstLine="480" w:firstLineChars="200"/>
        <w:rPr>
          <w:rFonts w:ascii="Arial" w:hAnsi="Arial" w:cs="Arial"/>
          <w:bCs/>
          <w:sz w:val="24"/>
        </w:rPr>
      </w:pPr>
      <w:r>
        <w:rPr>
          <w:rFonts w:ascii="Arial" w:hAnsi="Arial" w:cs="Arial"/>
          <w:bCs/>
          <w:kern w:val="0"/>
          <w:sz w:val="24"/>
        </w:rPr>
        <w:t>3.5.1.1</w:t>
      </w:r>
      <w:r>
        <w:rPr>
          <w:rFonts w:ascii="Arial" w:hAnsi="Arial" w:cs="Arial"/>
          <w:bCs/>
          <w:sz w:val="24"/>
        </w:rPr>
        <w:t>中国专利文献翻译数据</w:t>
      </w:r>
    </w:p>
    <w:p>
      <w:pPr>
        <w:spacing w:line="360" w:lineRule="auto"/>
        <w:ind w:firstLine="480" w:firstLineChars="200"/>
        <w:rPr>
          <w:rFonts w:ascii="Arial" w:hAnsi="Arial" w:cs="Arial"/>
          <w:bCs/>
          <w:sz w:val="24"/>
        </w:rPr>
      </w:pPr>
      <w:r>
        <w:rPr>
          <w:rFonts w:ascii="Arial" w:hAnsi="Arial" w:cs="Arial"/>
          <w:bCs/>
          <w:sz w:val="24"/>
        </w:rPr>
        <w:t>采用综合质量评分作为评测指标，综合质量评分不低于十二分</w:t>
      </w:r>
      <w:r>
        <w:rPr>
          <w:rFonts w:hint="eastAsia" w:ascii="Arial" w:hAnsi="Arial" w:cs="Arial"/>
          <w:bCs/>
          <w:sz w:val="24"/>
        </w:rPr>
        <w:t>。</w:t>
      </w:r>
      <w:r>
        <w:rPr>
          <w:rFonts w:ascii="Arial" w:hAnsi="Arial" w:cs="Arial"/>
          <w:bCs/>
          <w:sz w:val="24"/>
        </w:rPr>
        <w:t>综合质量评分的计算公式如下：</w:t>
      </w:r>
    </w:p>
    <w:p>
      <w:pPr>
        <w:spacing w:line="360" w:lineRule="auto"/>
        <w:ind w:firstLine="480" w:firstLineChars="200"/>
        <w:rPr>
          <w:rFonts w:ascii="Arial" w:hAnsi="Arial" w:cs="Arial"/>
          <w:bCs/>
          <w:sz w:val="24"/>
        </w:rPr>
      </w:pPr>
      <w:r>
        <w:rPr>
          <w:rFonts w:ascii="Arial" w:hAnsi="Arial" w:cs="Arial"/>
          <w:bCs/>
          <w:sz w:val="24"/>
        </w:rPr>
        <w:drawing>
          <wp:inline distT="0" distB="0" distL="114300" distR="114300">
            <wp:extent cx="3091815" cy="440690"/>
            <wp:effectExtent l="0" t="0" r="190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091815" cy="440690"/>
                    </a:xfrm>
                    <a:prstGeom prst="rect">
                      <a:avLst/>
                    </a:prstGeom>
                    <a:noFill/>
                    <a:ln>
                      <a:noFill/>
                    </a:ln>
                  </pic:spPr>
                </pic:pic>
              </a:graphicData>
            </a:graphic>
          </wp:inline>
        </w:drawing>
      </w:r>
      <w:r>
        <w:rPr>
          <w:rFonts w:ascii="Arial" w:hAnsi="Arial" w:cs="Arial"/>
          <w:bCs/>
          <w:sz w:val="24"/>
        </w:rPr>
        <w:t xml:space="preserve">  </w:t>
      </w:r>
    </w:p>
    <w:p>
      <w:pPr>
        <w:spacing w:line="360" w:lineRule="auto"/>
        <w:ind w:firstLine="480" w:firstLineChars="200"/>
        <w:rPr>
          <w:rFonts w:ascii="Arial" w:hAnsi="Arial" w:cs="Arial"/>
          <w:bCs/>
          <w:sz w:val="24"/>
        </w:rPr>
      </w:pPr>
      <w:r>
        <w:rPr>
          <w:rFonts w:ascii="Arial" w:hAnsi="Arial" w:cs="Arial"/>
          <w:bCs/>
          <w:sz w:val="24"/>
        </w:rPr>
        <w:t xml:space="preserve">式中： </w:t>
      </w:r>
    </w:p>
    <w:p>
      <w:pPr>
        <w:spacing w:line="360" w:lineRule="auto"/>
        <w:ind w:firstLine="480" w:firstLineChars="200"/>
        <w:rPr>
          <w:rFonts w:ascii="Arial" w:hAnsi="Arial" w:cs="Arial"/>
          <w:bCs/>
          <w:sz w:val="24"/>
        </w:rPr>
      </w:pPr>
      <w:r>
        <w:rPr>
          <w:rFonts w:ascii="Arial" w:hAnsi="Arial" w:cs="Arial"/>
          <w:bCs/>
          <w:sz w:val="24"/>
        </w:rPr>
        <w:t>N为翻译件的抽检样本量。</w:t>
      </w:r>
    </w:p>
    <w:p>
      <w:pPr>
        <w:spacing w:line="360" w:lineRule="auto"/>
        <w:ind w:firstLine="480" w:firstLineChars="200"/>
        <w:rPr>
          <w:rFonts w:ascii="Arial" w:hAnsi="Arial" w:cs="Arial"/>
          <w:bCs/>
          <w:sz w:val="24"/>
        </w:rPr>
      </w:pPr>
      <w:r>
        <w:rPr>
          <w:rFonts w:ascii="Arial" w:hAnsi="Arial" w:cs="Arial"/>
          <w:bCs/>
          <w:sz w:val="24"/>
        </w:rPr>
        <w:t>S1、S2……Sn 分别为第1、第2、……第n篇翻译件的质量得分，单篇翻译件质量评分标准涉及忠实度指标、可懂</w:t>
      </w:r>
      <w:r>
        <w:rPr>
          <w:rFonts w:hint="eastAsia" w:ascii="Arial" w:hAnsi="Arial" w:cs="Arial"/>
          <w:bCs/>
          <w:sz w:val="24"/>
        </w:rPr>
        <w:t>度</w:t>
      </w:r>
      <w:r>
        <w:rPr>
          <w:rFonts w:ascii="Arial" w:hAnsi="Arial" w:cs="Arial"/>
          <w:bCs/>
          <w:sz w:val="24"/>
        </w:rPr>
        <w:t>指标以及格式符号指标，各指标的分值等级和得分标准参见表</w:t>
      </w:r>
      <w:r>
        <w:rPr>
          <w:rFonts w:hint="eastAsia" w:ascii="Arial" w:hAnsi="Arial" w:cs="Arial"/>
          <w:bCs/>
          <w:sz w:val="24"/>
        </w:rPr>
        <w:t>1-3</w:t>
      </w:r>
      <w:r>
        <w:rPr>
          <w:rFonts w:ascii="Arial" w:hAnsi="Arial" w:cs="Arial"/>
          <w:bCs/>
          <w:sz w:val="24"/>
        </w:rPr>
        <w:t>。</w:t>
      </w:r>
    </w:p>
    <w:p>
      <w:pPr>
        <w:spacing w:before="78" w:beforeLines="25" w:after="78" w:afterLines="25" w:line="360" w:lineRule="auto"/>
        <w:jc w:val="center"/>
        <w:rPr>
          <w:rFonts w:ascii="Arial" w:hAnsi="Arial" w:cs="Arial"/>
          <w:sz w:val="24"/>
        </w:rPr>
      </w:pPr>
      <w:r>
        <w:rPr>
          <w:rFonts w:ascii="Arial" w:hAnsi="Arial" w:cs="Arial"/>
          <w:sz w:val="24"/>
        </w:rPr>
        <w:t>表</w:t>
      </w:r>
      <w:r>
        <w:rPr>
          <w:rFonts w:hint="eastAsia" w:ascii="Arial" w:hAnsi="Arial" w:cs="Arial"/>
          <w:sz w:val="24"/>
        </w:rPr>
        <w:t>1</w:t>
      </w:r>
      <w:r>
        <w:rPr>
          <w:rFonts w:ascii="Arial" w:hAnsi="Arial" w:cs="Arial"/>
          <w:sz w:val="24"/>
        </w:rPr>
        <w:t xml:space="preserve"> 忠实度指标的分值等级和得分标准</w:t>
      </w:r>
    </w:p>
    <w:tbl>
      <w:tblPr>
        <w:tblStyle w:val="5"/>
        <w:tblW w:w="96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5"/>
        <w:gridCol w:w="1700"/>
        <w:gridCol w:w="1985"/>
        <w:gridCol w:w="45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85" w:type="dxa"/>
            <w:noWrap w:val="0"/>
            <w:vAlign w:val="center"/>
          </w:tcPr>
          <w:p>
            <w:pPr>
              <w:spacing w:before="156" w:beforeLines="50" w:line="360" w:lineRule="auto"/>
              <w:jc w:val="center"/>
              <w:rPr>
                <w:rFonts w:ascii="Arial" w:hAnsi="Arial" w:eastAsia="黑体" w:cs="Arial"/>
                <w:b/>
                <w:bCs/>
                <w:w w:val="80"/>
                <w:sz w:val="24"/>
              </w:rPr>
            </w:pPr>
            <w:r>
              <w:rPr>
                <w:rFonts w:ascii="Arial" w:hAnsi="Arial" w:cs="Arial"/>
                <w:b/>
                <w:sz w:val="24"/>
              </w:rPr>
              <w:t>一级指标</w:t>
            </w:r>
          </w:p>
        </w:tc>
        <w:tc>
          <w:tcPr>
            <w:tcW w:w="1700" w:type="dxa"/>
            <w:noWrap w:val="0"/>
            <w:vAlign w:val="center"/>
          </w:tcPr>
          <w:p>
            <w:pPr>
              <w:spacing w:before="156" w:beforeLines="50" w:line="360" w:lineRule="auto"/>
              <w:jc w:val="center"/>
              <w:rPr>
                <w:rFonts w:ascii="Arial" w:hAnsi="Arial" w:eastAsia="黑体" w:cs="Arial"/>
                <w:b/>
                <w:bCs/>
                <w:w w:val="80"/>
                <w:sz w:val="24"/>
              </w:rPr>
            </w:pPr>
            <w:r>
              <w:rPr>
                <w:rFonts w:ascii="Arial" w:hAnsi="Arial" w:cs="Arial"/>
                <w:b/>
                <w:sz w:val="24"/>
              </w:rPr>
              <w:t>二级指标</w:t>
            </w:r>
          </w:p>
        </w:tc>
        <w:tc>
          <w:tcPr>
            <w:tcW w:w="1985" w:type="dxa"/>
            <w:noWrap w:val="0"/>
            <w:vAlign w:val="center"/>
          </w:tcPr>
          <w:p>
            <w:pPr>
              <w:spacing w:before="156" w:beforeLines="50" w:line="360" w:lineRule="auto"/>
              <w:jc w:val="center"/>
              <w:rPr>
                <w:rFonts w:ascii="Arial" w:hAnsi="Arial" w:eastAsia="黑体" w:cs="Arial"/>
                <w:b/>
                <w:bCs/>
                <w:w w:val="80"/>
                <w:sz w:val="24"/>
              </w:rPr>
            </w:pPr>
            <w:r>
              <w:rPr>
                <w:rFonts w:ascii="Arial" w:hAnsi="Arial" w:cs="Arial"/>
                <w:b/>
                <w:sz w:val="24"/>
              </w:rPr>
              <w:t>分值等级</w:t>
            </w:r>
          </w:p>
        </w:tc>
        <w:tc>
          <w:tcPr>
            <w:tcW w:w="4558" w:type="dxa"/>
            <w:noWrap w:val="0"/>
            <w:vAlign w:val="center"/>
          </w:tcPr>
          <w:p>
            <w:pPr>
              <w:spacing w:before="156" w:beforeLines="50" w:line="360" w:lineRule="auto"/>
              <w:jc w:val="center"/>
              <w:rPr>
                <w:rFonts w:ascii="Arial" w:hAnsi="Arial" w:eastAsia="黑体" w:cs="Arial"/>
                <w:b/>
                <w:bCs/>
                <w:w w:val="80"/>
                <w:sz w:val="24"/>
              </w:rPr>
            </w:pPr>
            <w:r>
              <w:rPr>
                <w:rFonts w:ascii="Arial" w:hAnsi="Arial" w:cs="Arial"/>
                <w:b/>
                <w:sz w:val="24"/>
              </w:rPr>
              <w:t>得分标准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85" w:type="dxa"/>
            <w:vMerge w:val="restart"/>
            <w:noWrap w:val="0"/>
            <w:vAlign w:val="center"/>
          </w:tcPr>
          <w:p>
            <w:pPr>
              <w:spacing w:line="360" w:lineRule="auto"/>
              <w:jc w:val="center"/>
              <w:rPr>
                <w:rFonts w:ascii="Arial" w:hAnsi="Arial" w:cs="Arial"/>
                <w:sz w:val="24"/>
              </w:rPr>
            </w:pPr>
          </w:p>
          <w:p>
            <w:pPr>
              <w:spacing w:line="360" w:lineRule="auto"/>
              <w:jc w:val="center"/>
              <w:rPr>
                <w:rFonts w:ascii="Arial" w:hAnsi="Arial" w:cs="Arial"/>
                <w:sz w:val="24"/>
              </w:rPr>
            </w:pPr>
          </w:p>
          <w:p>
            <w:pPr>
              <w:spacing w:line="360" w:lineRule="auto"/>
              <w:jc w:val="center"/>
              <w:rPr>
                <w:rFonts w:ascii="Arial" w:hAnsi="Arial" w:cs="Arial"/>
                <w:sz w:val="24"/>
              </w:rPr>
            </w:pPr>
            <w:r>
              <w:rPr>
                <w:rFonts w:ascii="Arial" w:hAnsi="Arial" w:cs="Arial"/>
                <w:sz w:val="24"/>
              </w:rPr>
              <w:t>忠</w:t>
            </w:r>
          </w:p>
          <w:p>
            <w:pPr>
              <w:spacing w:line="360" w:lineRule="auto"/>
              <w:jc w:val="center"/>
              <w:rPr>
                <w:rFonts w:ascii="Arial" w:hAnsi="Arial" w:cs="Arial"/>
                <w:sz w:val="24"/>
              </w:rPr>
            </w:pPr>
            <w:r>
              <w:rPr>
                <w:rFonts w:ascii="Arial" w:hAnsi="Arial" w:cs="Arial"/>
                <w:sz w:val="24"/>
              </w:rPr>
              <w:t>实</w:t>
            </w:r>
          </w:p>
          <w:p>
            <w:pPr>
              <w:spacing w:line="360" w:lineRule="auto"/>
              <w:jc w:val="center"/>
              <w:rPr>
                <w:rFonts w:ascii="Arial" w:hAnsi="Arial" w:cs="Arial"/>
                <w:sz w:val="24"/>
              </w:rPr>
            </w:pPr>
            <w:r>
              <w:rPr>
                <w:rFonts w:ascii="Arial" w:hAnsi="Arial" w:cs="Arial"/>
                <w:sz w:val="24"/>
              </w:rPr>
              <w:t>度</w:t>
            </w:r>
          </w:p>
          <w:p>
            <w:pPr>
              <w:spacing w:line="360" w:lineRule="auto"/>
              <w:jc w:val="center"/>
              <w:rPr>
                <w:rFonts w:ascii="Arial" w:hAnsi="Arial" w:cs="Arial"/>
                <w:sz w:val="24"/>
              </w:rPr>
            </w:pPr>
            <w:r>
              <w:rPr>
                <w:rFonts w:ascii="Arial" w:hAnsi="Arial" w:cs="Arial"/>
                <w:sz w:val="24"/>
              </w:rPr>
              <w:t>指</w:t>
            </w:r>
          </w:p>
          <w:p>
            <w:pPr>
              <w:spacing w:line="360" w:lineRule="auto"/>
              <w:jc w:val="center"/>
              <w:rPr>
                <w:rFonts w:ascii="Arial" w:hAnsi="Arial" w:cs="Arial"/>
                <w:sz w:val="24"/>
              </w:rPr>
            </w:pPr>
            <w:r>
              <w:rPr>
                <w:rFonts w:ascii="Arial" w:hAnsi="Arial" w:cs="Arial"/>
                <w:sz w:val="24"/>
              </w:rPr>
              <w:t>标</w:t>
            </w:r>
          </w:p>
        </w:tc>
        <w:tc>
          <w:tcPr>
            <w:tcW w:w="1700" w:type="dxa"/>
            <w:vMerge w:val="restart"/>
            <w:noWrap w:val="0"/>
            <w:vAlign w:val="center"/>
          </w:tcPr>
          <w:p>
            <w:pPr>
              <w:spacing w:line="360" w:lineRule="auto"/>
              <w:jc w:val="center"/>
              <w:rPr>
                <w:rFonts w:ascii="Arial" w:hAnsi="Arial" w:cs="Arial"/>
                <w:sz w:val="24"/>
              </w:rPr>
            </w:pPr>
            <w:r>
              <w:rPr>
                <w:rFonts w:ascii="Arial" w:hAnsi="Arial" w:cs="Arial"/>
                <w:sz w:val="24"/>
              </w:rPr>
              <w:t>词汇</w:t>
            </w:r>
          </w:p>
        </w:tc>
        <w:tc>
          <w:tcPr>
            <w:tcW w:w="1985" w:type="dxa"/>
            <w:noWrap w:val="0"/>
            <w:vAlign w:val="center"/>
          </w:tcPr>
          <w:p>
            <w:pPr>
              <w:spacing w:line="360" w:lineRule="auto"/>
              <w:jc w:val="center"/>
              <w:rPr>
                <w:rFonts w:ascii="Arial" w:hAnsi="Arial" w:cs="Arial"/>
                <w:sz w:val="24"/>
              </w:rPr>
            </w:pPr>
            <w:r>
              <w:rPr>
                <w:rFonts w:ascii="Arial" w:hAnsi="Arial" w:cs="Arial"/>
                <w:sz w:val="24"/>
              </w:rPr>
              <w:t>0</w:t>
            </w:r>
          </w:p>
        </w:tc>
        <w:tc>
          <w:tcPr>
            <w:tcW w:w="4558" w:type="dxa"/>
            <w:noWrap w:val="0"/>
            <w:vAlign w:val="center"/>
          </w:tcPr>
          <w:p>
            <w:pPr>
              <w:spacing w:line="360" w:lineRule="auto"/>
              <w:rPr>
                <w:rFonts w:ascii="Arial" w:hAnsi="Arial" w:cs="Arial"/>
                <w:sz w:val="24"/>
              </w:rPr>
            </w:pPr>
            <w:r>
              <w:rPr>
                <w:rFonts w:ascii="Arial" w:hAnsi="Arial" w:cs="Arial"/>
                <w:sz w:val="24"/>
              </w:rPr>
              <w:t>词汇未译出或完全错误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85" w:type="dxa"/>
            <w:vMerge w:val="continue"/>
            <w:noWrap w:val="0"/>
            <w:vAlign w:val="center"/>
          </w:tcPr>
          <w:p>
            <w:pPr>
              <w:spacing w:line="360" w:lineRule="auto"/>
              <w:jc w:val="center"/>
              <w:rPr>
                <w:rFonts w:ascii="Arial" w:hAnsi="Arial" w:cs="Arial"/>
                <w:sz w:val="24"/>
              </w:rPr>
            </w:pPr>
          </w:p>
        </w:tc>
        <w:tc>
          <w:tcPr>
            <w:tcW w:w="1700" w:type="dxa"/>
            <w:vMerge w:val="continue"/>
            <w:noWrap w:val="0"/>
            <w:vAlign w:val="center"/>
          </w:tcPr>
          <w:p>
            <w:pPr>
              <w:spacing w:line="360" w:lineRule="auto"/>
              <w:jc w:val="center"/>
              <w:rPr>
                <w:rFonts w:ascii="Arial" w:hAnsi="Arial" w:cs="Arial"/>
                <w:sz w:val="24"/>
              </w:rPr>
            </w:pPr>
          </w:p>
        </w:tc>
        <w:tc>
          <w:tcPr>
            <w:tcW w:w="1985" w:type="dxa"/>
            <w:noWrap w:val="0"/>
            <w:vAlign w:val="center"/>
          </w:tcPr>
          <w:p>
            <w:pPr>
              <w:spacing w:line="360" w:lineRule="auto"/>
              <w:jc w:val="center"/>
              <w:rPr>
                <w:rFonts w:ascii="Arial" w:hAnsi="Arial" w:cs="Arial"/>
                <w:sz w:val="24"/>
              </w:rPr>
            </w:pPr>
            <w:r>
              <w:rPr>
                <w:rFonts w:ascii="Arial" w:hAnsi="Arial" w:cs="Arial"/>
                <w:sz w:val="24"/>
              </w:rPr>
              <w:t>1</w:t>
            </w:r>
          </w:p>
        </w:tc>
        <w:tc>
          <w:tcPr>
            <w:tcW w:w="4558" w:type="dxa"/>
            <w:noWrap w:val="0"/>
            <w:vAlign w:val="center"/>
          </w:tcPr>
          <w:p>
            <w:pPr>
              <w:spacing w:line="360" w:lineRule="auto"/>
              <w:rPr>
                <w:rFonts w:ascii="Arial" w:hAnsi="Arial" w:cs="Arial"/>
                <w:sz w:val="24"/>
              </w:rPr>
            </w:pPr>
            <w:r>
              <w:rPr>
                <w:rFonts w:ascii="Arial" w:hAnsi="Arial" w:cs="Arial"/>
                <w:sz w:val="24"/>
              </w:rPr>
              <w:t>只有少数词汇选用正确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85" w:type="dxa"/>
            <w:vMerge w:val="continue"/>
            <w:noWrap w:val="0"/>
            <w:vAlign w:val="center"/>
          </w:tcPr>
          <w:p>
            <w:pPr>
              <w:spacing w:line="360" w:lineRule="auto"/>
              <w:jc w:val="center"/>
              <w:rPr>
                <w:rFonts w:ascii="Arial" w:hAnsi="Arial" w:cs="Arial"/>
                <w:sz w:val="24"/>
              </w:rPr>
            </w:pPr>
          </w:p>
        </w:tc>
        <w:tc>
          <w:tcPr>
            <w:tcW w:w="1700" w:type="dxa"/>
            <w:vMerge w:val="continue"/>
            <w:noWrap w:val="0"/>
            <w:vAlign w:val="center"/>
          </w:tcPr>
          <w:p>
            <w:pPr>
              <w:spacing w:line="360" w:lineRule="auto"/>
              <w:jc w:val="center"/>
              <w:rPr>
                <w:rFonts w:ascii="Arial" w:hAnsi="Arial" w:cs="Arial"/>
                <w:sz w:val="24"/>
              </w:rPr>
            </w:pPr>
          </w:p>
        </w:tc>
        <w:tc>
          <w:tcPr>
            <w:tcW w:w="1985" w:type="dxa"/>
            <w:noWrap w:val="0"/>
            <w:vAlign w:val="center"/>
          </w:tcPr>
          <w:p>
            <w:pPr>
              <w:spacing w:line="360" w:lineRule="auto"/>
              <w:jc w:val="center"/>
              <w:rPr>
                <w:rFonts w:ascii="Arial" w:hAnsi="Arial" w:cs="Arial"/>
                <w:sz w:val="24"/>
              </w:rPr>
            </w:pPr>
            <w:r>
              <w:rPr>
                <w:rFonts w:ascii="Arial" w:hAnsi="Arial" w:cs="Arial"/>
                <w:sz w:val="24"/>
              </w:rPr>
              <w:t>2</w:t>
            </w:r>
          </w:p>
        </w:tc>
        <w:tc>
          <w:tcPr>
            <w:tcW w:w="4558" w:type="dxa"/>
            <w:noWrap w:val="0"/>
            <w:vAlign w:val="center"/>
          </w:tcPr>
          <w:p>
            <w:pPr>
              <w:spacing w:line="360" w:lineRule="auto"/>
              <w:rPr>
                <w:rFonts w:ascii="Arial" w:hAnsi="Arial" w:cs="Arial"/>
                <w:sz w:val="24"/>
              </w:rPr>
            </w:pPr>
            <w:r>
              <w:rPr>
                <w:rFonts w:ascii="Arial" w:hAnsi="Arial" w:cs="Arial"/>
                <w:sz w:val="24"/>
              </w:rPr>
              <w:t>选词基本正确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85" w:type="dxa"/>
            <w:vMerge w:val="continue"/>
            <w:noWrap w:val="0"/>
            <w:vAlign w:val="center"/>
          </w:tcPr>
          <w:p>
            <w:pPr>
              <w:spacing w:line="360" w:lineRule="auto"/>
              <w:jc w:val="center"/>
              <w:rPr>
                <w:rFonts w:ascii="Arial" w:hAnsi="Arial" w:cs="Arial"/>
                <w:sz w:val="24"/>
              </w:rPr>
            </w:pPr>
          </w:p>
        </w:tc>
        <w:tc>
          <w:tcPr>
            <w:tcW w:w="1700" w:type="dxa"/>
            <w:vMerge w:val="continue"/>
            <w:noWrap w:val="0"/>
            <w:vAlign w:val="center"/>
          </w:tcPr>
          <w:p>
            <w:pPr>
              <w:spacing w:line="360" w:lineRule="auto"/>
              <w:jc w:val="center"/>
              <w:rPr>
                <w:rFonts w:ascii="Arial" w:hAnsi="Arial" w:cs="Arial"/>
                <w:sz w:val="24"/>
              </w:rPr>
            </w:pPr>
          </w:p>
        </w:tc>
        <w:tc>
          <w:tcPr>
            <w:tcW w:w="1985" w:type="dxa"/>
            <w:noWrap w:val="0"/>
            <w:vAlign w:val="center"/>
          </w:tcPr>
          <w:p>
            <w:pPr>
              <w:spacing w:line="360" w:lineRule="auto"/>
              <w:jc w:val="center"/>
              <w:rPr>
                <w:rFonts w:ascii="Arial" w:hAnsi="Arial" w:cs="Arial"/>
                <w:sz w:val="24"/>
              </w:rPr>
            </w:pPr>
            <w:r>
              <w:rPr>
                <w:rFonts w:ascii="Arial" w:hAnsi="Arial" w:cs="Arial"/>
                <w:sz w:val="24"/>
              </w:rPr>
              <w:t>3</w:t>
            </w:r>
          </w:p>
        </w:tc>
        <w:tc>
          <w:tcPr>
            <w:tcW w:w="4558" w:type="dxa"/>
            <w:noWrap w:val="0"/>
            <w:vAlign w:val="center"/>
          </w:tcPr>
          <w:p>
            <w:pPr>
              <w:spacing w:line="360" w:lineRule="auto"/>
              <w:rPr>
                <w:rFonts w:ascii="Arial" w:hAnsi="Arial" w:cs="Arial"/>
                <w:sz w:val="24"/>
              </w:rPr>
            </w:pPr>
            <w:r>
              <w:rPr>
                <w:rFonts w:ascii="Arial" w:hAnsi="Arial" w:cs="Arial"/>
                <w:sz w:val="24"/>
              </w:rPr>
              <w:t>选词完全准确地表达了原文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85" w:type="dxa"/>
            <w:vMerge w:val="continue"/>
            <w:noWrap w:val="0"/>
            <w:vAlign w:val="center"/>
          </w:tcPr>
          <w:p>
            <w:pPr>
              <w:spacing w:line="360" w:lineRule="auto"/>
              <w:jc w:val="center"/>
              <w:rPr>
                <w:rFonts w:ascii="Arial" w:hAnsi="Arial" w:cs="Arial"/>
                <w:sz w:val="24"/>
              </w:rPr>
            </w:pPr>
          </w:p>
        </w:tc>
        <w:tc>
          <w:tcPr>
            <w:tcW w:w="1700" w:type="dxa"/>
            <w:vMerge w:val="restart"/>
            <w:noWrap w:val="0"/>
            <w:vAlign w:val="center"/>
          </w:tcPr>
          <w:p>
            <w:pPr>
              <w:spacing w:line="360" w:lineRule="auto"/>
              <w:jc w:val="center"/>
              <w:rPr>
                <w:rFonts w:ascii="Arial" w:hAnsi="Arial" w:cs="Arial"/>
                <w:sz w:val="24"/>
              </w:rPr>
            </w:pPr>
            <w:r>
              <w:rPr>
                <w:rFonts w:ascii="Arial" w:hAnsi="Arial" w:cs="Arial"/>
                <w:sz w:val="24"/>
              </w:rPr>
              <w:t>一致性</w:t>
            </w:r>
          </w:p>
        </w:tc>
        <w:tc>
          <w:tcPr>
            <w:tcW w:w="1985" w:type="dxa"/>
            <w:noWrap w:val="0"/>
            <w:vAlign w:val="center"/>
          </w:tcPr>
          <w:p>
            <w:pPr>
              <w:spacing w:line="360" w:lineRule="auto"/>
              <w:jc w:val="center"/>
              <w:rPr>
                <w:rFonts w:ascii="Arial" w:hAnsi="Arial" w:cs="Arial"/>
                <w:sz w:val="24"/>
              </w:rPr>
            </w:pPr>
            <w:r>
              <w:rPr>
                <w:rFonts w:ascii="Arial" w:hAnsi="Arial" w:cs="Arial"/>
                <w:sz w:val="24"/>
              </w:rPr>
              <w:t>0</w:t>
            </w:r>
          </w:p>
        </w:tc>
        <w:tc>
          <w:tcPr>
            <w:tcW w:w="4558" w:type="dxa"/>
            <w:noWrap w:val="0"/>
            <w:vAlign w:val="center"/>
          </w:tcPr>
          <w:p>
            <w:pPr>
              <w:spacing w:line="360" w:lineRule="auto"/>
              <w:rPr>
                <w:rFonts w:ascii="Arial" w:hAnsi="Arial" w:cs="Arial"/>
                <w:sz w:val="24"/>
              </w:rPr>
            </w:pPr>
            <w:r>
              <w:rPr>
                <w:rFonts w:ascii="Arial" w:hAnsi="Arial" w:cs="Arial"/>
                <w:sz w:val="24"/>
              </w:rPr>
              <w:t>全篇术语不一致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85" w:type="dxa"/>
            <w:vMerge w:val="continue"/>
            <w:noWrap w:val="0"/>
            <w:vAlign w:val="center"/>
          </w:tcPr>
          <w:p>
            <w:pPr>
              <w:spacing w:line="360" w:lineRule="auto"/>
              <w:jc w:val="center"/>
              <w:rPr>
                <w:rFonts w:ascii="Arial" w:hAnsi="Arial" w:cs="Arial"/>
                <w:sz w:val="24"/>
              </w:rPr>
            </w:pPr>
          </w:p>
        </w:tc>
        <w:tc>
          <w:tcPr>
            <w:tcW w:w="1700" w:type="dxa"/>
            <w:vMerge w:val="continue"/>
            <w:noWrap w:val="0"/>
            <w:vAlign w:val="center"/>
          </w:tcPr>
          <w:p>
            <w:pPr>
              <w:spacing w:line="360" w:lineRule="auto"/>
              <w:rPr>
                <w:rFonts w:ascii="Arial" w:hAnsi="Arial" w:cs="Arial"/>
                <w:sz w:val="24"/>
              </w:rPr>
            </w:pPr>
          </w:p>
        </w:tc>
        <w:tc>
          <w:tcPr>
            <w:tcW w:w="1985" w:type="dxa"/>
            <w:noWrap w:val="0"/>
            <w:vAlign w:val="center"/>
          </w:tcPr>
          <w:p>
            <w:pPr>
              <w:spacing w:line="360" w:lineRule="auto"/>
              <w:jc w:val="center"/>
              <w:rPr>
                <w:rFonts w:ascii="Arial" w:hAnsi="Arial" w:cs="Arial"/>
                <w:sz w:val="24"/>
              </w:rPr>
            </w:pPr>
            <w:r>
              <w:rPr>
                <w:rFonts w:ascii="Arial" w:hAnsi="Arial" w:cs="Arial"/>
                <w:sz w:val="24"/>
              </w:rPr>
              <w:t>1</w:t>
            </w:r>
          </w:p>
        </w:tc>
        <w:tc>
          <w:tcPr>
            <w:tcW w:w="4558" w:type="dxa"/>
            <w:noWrap w:val="0"/>
            <w:vAlign w:val="center"/>
          </w:tcPr>
          <w:p>
            <w:pPr>
              <w:spacing w:line="360" w:lineRule="auto"/>
              <w:rPr>
                <w:rFonts w:ascii="Arial" w:hAnsi="Arial" w:cs="Arial"/>
                <w:sz w:val="24"/>
              </w:rPr>
            </w:pPr>
            <w:r>
              <w:rPr>
                <w:rFonts w:ascii="Arial" w:hAnsi="Arial" w:cs="Arial"/>
                <w:sz w:val="24"/>
              </w:rPr>
              <w:t>全篇术语基本一致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85" w:type="dxa"/>
            <w:vMerge w:val="continue"/>
            <w:noWrap w:val="0"/>
            <w:vAlign w:val="center"/>
          </w:tcPr>
          <w:p>
            <w:pPr>
              <w:spacing w:line="360" w:lineRule="auto"/>
              <w:jc w:val="center"/>
              <w:rPr>
                <w:rFonts w:ascii="Arial" w:hAnsi="Arial" w:cs="Arial"/>
                <w:sz w:val="24"/>
              </w:rPr>
            </w:pPr>
          </w:p>
        </w:tc>
        <w:tc>
          <w:tcPr>
            <w:tcW w:w="1700" w:type="dxa"/>
            <w:vMerge w:val="continue"/>
            <w:noWrap w:val="0"/>
            <w:vAlign w:val="center"/>
          </w:tcPr>
          <w:p>
            <w:pPr>
              <w:spacing w:line="360" w:lineRule="auto"/>
              <w:rPr>
                <w:rFonts w:ascii="Arial" w:hAnsi="Arial" w:cs="Arial"/>
                <w:sz w:val="24"/>
              </w:rPr>
            </w:pPr>
          </w:p>
        </w:tc>
        <w:tc>
          <w:tcPr>
            <w:tcW w:w="1985" w:type="dxa"/>
            <w:noWrap w:val="0"/>
            <w:vAlign w:val="center"/>
          </w:tcPr>
          <w:p>
            <w:pPr>
              <w:spacing w:line="360" w:lineRule="auto"/>
              <w:jc w:val="center"/>
              <w:rPr>
                <w:rFonts w:ascii="Arial" w:hAnsi="Arial" w:cs="Arial"/>
                <w:sz w:val="24"/>
              </w:rPr>
            </w:pPr>
            <w:r>
              <w:rPr>
                <w:rFonts w:ascii="Arial" w:hAnsi="Arial" w:cs="Arial"/>
                <w:sz w:val="24"/>
              </w:rPr>
              <w:t>2</w:t>
            </w:r>
          </w:p>
        </w:tc>
        <w:tc>
          <w:tcPr>
            <w:tcW w:w="4558" w:type="dxa"/>
            <w:noWrap w:val="0"/>
            <w:vAlign w:val="center"/>
          </w:tcPr>
          <w:p>
            <w:pPr>
              <w:spacing w:line="360" w:lineRule="auto"/>
              <w:rPr>
                <w:rFonts w:ascii="Arial" w:hAnsi="Arial" w:cs="Arial"/>
                <w:sz w:val="24"/>
              </w:rPr>
            </w:pPr>
            <w:r>
              <w:rPr>
                <w:rFonts w:ascii="Arial" w:hAnsi="Arial" w:cs="Arial"/>
                <w:sz w:val="24"/>
              </w:rPr>
              <w:t>全篇术语高度一致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85" w:type="dxa"/>
            <w:vMerge w:val="continue"/>
            <w:noWrap w:val="0"/>
            <w:vAlign w:val="center"/>
          </w:tcPr>
          <w:p>
            <w:pPr>
              <w:spacing w:line="360" w:lineRule="auto"/>
              <w:jc w:val="center"/>
              <w:rPr>
                <w:rFonts w:ascii="Arial" w:hAnsi="Arial" w:cs="Arial"/>
                <w:sz w:val="24"/>
              </w:rPr>
            </w:pPr>
          </w:p>
        </w:tc>
        <w:tc>
          <w:tcPr>
            <w:tcW w:w="1700" w:type="dxa"/>
            <w:vMerge w:val="restart"/>
            <w:noWrap w:val="0"/>
            <w:vAlign w:val="center"/>
          </w:tcPr>
          <w:p>
            <w:pPr>
              <w:spacing w:line="360" w:lineRule="auto"/>
              <w:jc w:val="center"/>
              <w:rPr>
                <w:rFonts w:ascii="Arial" w:hAnsi="Arial" w:cs="Arial"/>
                <w:sz w:val="24"/>
              </w:rPr>
            </w:pPr>
            <w:r>
              <w:rPr>
                <w:rFonts w:ascii="Arial" w:hAnsi="Arial" w:cs="Arial"/>
                <w:sz w:val="24"/>
              </w:rPr>
              <w:t>专利惯用表达</w:t>
            </w:r>
          </w:p>
        </w:tc>
        <w:tc>
          <w:tcPr>
            <w:tcW w:w="1985" w:type="dxa"/>
            <w:noWrap w:val="0"/>
            <w:vAlign w:val="center"/>
          </w:tcPr>
          <w:p>
            <w:pPr>
              <w:spacing w:line="360" w:lineRule="auto"/>
              <w:jc w:val="center"/>
              <w:rPr>
                <w:rFonts w:ascii="Arial" w:hAnsi="Arial" w:cs="Arial"/>
                <w:sz w:val="24"/>
              </w:rPr>
            </w:pPr>
            <w:r>
              <w:rPr>
                <w:rFonts w:ascii="Arial" w:hAnsi="Arial" w:cs="Arial"/>
                <w:sz w:val="24"/>
              </w:rPr>
              <w:t>0</w:t>
            </w:r>
          </w:p>
        </w:tc>
        <w:tc>
          <w:tcPr>
            <w:tcW w:w="4558" w:type="dxa"/>
            <w:noWrap w:val="0"/>
            <w:vAlign w:val="center"/>
          </w:tcPr>
          <w:p>
            <w:pPr>
              <w:spacing w:line="360" w:lineRule="auto"/>
              <w:rPr>
                <w:rFonts w:ascii="Arial" w:hAnsi="Arial" w:cs="Arial"/>
                <w:sz w:val="24"/>
              </w:rPr>
            </w:pPr>
            <w:r>
              <w:rPr>
                <w:rFonts w:ascii="Arial" w:hAnsi="Arial" w:cs="Arial"/>
                <w:sz w:val="24"/>
              </w:rPr>
              <w:t>专利惯用语句完全表达正确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85" w:type="dxa"/>
            <w:vMerge w:val="continue"/>
            <w:noWrap w:val="0"/>
            <w:vAlign w:val="center"/>
          </w:tcPr>
          <w:p>
            <w:pPr>
              <w:spacing w:line="360" w:lineRule="auto"/>
              <w:jc w:val="center"/>
              <w:rPr>
                <w:rFonts w:ascii="Arial" w:hAnsi="Arial" w:cs="Arial"/>
                <w:sz w:val="24"/>
              </w:rPr>
            </w:pPr>
          </w:p>
        </w:tc>
        <w:tc>
          <w:tcPr>
            <w:tcW w:w="1700" w:type="dxa"/>
            <w:vMerge w:val="continue"/>
            <w:noWrap w:val="0"/>
            <w:vAlign w:val="center"/>
          </w:tcPr>
          <w:p>
            <w:pPr>
              <w:spacing w:line="360" w:lineRule="auto"/>
              <w:jc w:val="center"/>
              <w:rPr>
                <w:rFonts w:ascii="Arial" w:hAnsi="Arial" w:cs="Arial"/>
                <w:sz w:val="24"/>
              </w:rPr>
            </w:pPr>
          </w:p>
        </w:tc>
        <w:tc>
          <w:tcPr>
            <w:tcW w:w="1985" w:type="dxa"/>
            <w:noWrap w:val="0"/>
            <w:vAlign w:val="center"/>
          </w:tcPr>
          <w:p>
            <w:pPr>
              <w:spacing w:line="360" w:lineRule="auto"/>
              <w:jc w:val="center"/>
              <w:rPr>
                <w:rFonts w:ascii="Arial" w:hAnsi="Arial" w:cs="Arial"/>
                <w:sz w:val="24"/>
              </w:rPr>
            </w:pPr>
            <w:r>
              <w:rPr>
                <w:rFonts w:ascii="Arial" w:hAnsi="Arial" w:cs="Arial"/>
                <w:sz w:val="24"/>
              </w:rPr>
              <w:t>1</w:t>
            </w:r>
          </w:p>
        </w:tc>
        <w:tc>
          <w:tcPr>
            <w:tcW w:w="4558" w:type="dxa"/>
            <w:noWrap w:val="0"/>
            <w:vAlign w:val="center"/>
          </w:tcPr>
          <w:p>
            <w:pPr>
              <w:spacing w:line="360" w:lineRule="auto"/>
              <w:rPr>
                <w:rFonts w:ascii="Arial" w:hAnsi="Arial" w:cs="Arial"/>
                <w:sz w:val="24"/>
              </w:rPr>
            </w:pPr>
            <w:r>
              <w:rPr>
                <w:rFonts w:ascii="Arial" w:hAnsi="Arial" w:cs="Arial"/>
                <w:sz w:val="24"/>
              </w:rPr>
              <w:t>只有少数专利惯用语句表达正确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85" w:type="dxa"/>
            <w:vMerge w:val="continue"/>
            <w:noWrap w:val="0"/>
            <w:vAlign w:val="center"/>
          </w:tcPr>
          <w:p>
            <w:pPr>
              <w:spacing w:line="360" w:lineRule="auto"/>
              <w:jc w:val="center"/>
              <w:rPr>
                <w:rFonts w:ascii="Arial" w:hAnsi="Arial" w:cs="Arial"/>
                <w:sz w:val="24"/>
              </w:rPr>
            </w:pPr>
          </w:p>
        </w:tc>
        <w:tc>
          <w:tcPr>
            <w:tcW w:w="1700" w:type="dxa"/>
            <w:vMerge w:val="continue"/>
            <w:noWrap w:val="0"/>
            <w:vAlign w:val="center"/>
          </w:tcPr>
          <w:p>
            <w:pPr>
              <w:spacing w:line="360" w:lineRule="auto"/>
              <w:jc w:val="center"/>
              <w:rPr>
                <w:rFonts w:ascii="Arial" w:hAnsi="Arial" w:cs="Arial"/>
                <w:sz w:val="24"/>
              </w:rPr>
            </w:pPr>
          </w:p>
        </w:tc>
        <w:tc>
          <w:tcPr>
            <w:tcW w:w="1985" w:type="dxa"/>
            <w:noWrap w:val="0"/>
            <w:vAlign w:val="center"/>
          </w:tcPr>
          <w:p>
            <w:pPr>
              <w:spacing w:line="360" w:lineRule="auto"/>
              <w:jc w:val="center"/>
              <w:rPr>
                <w:rFonts w:ascii="Arial" w:hAnsi="Arial" w:cs="Arial"/>
                <w:sz w:val="24"/>
              </w:rPr>
            </w:pPr>
            <w:r>
              <w:rPr>
                <w:rFonts w:ascii="Arial" w:hAnsi="Arial" w:cs="Arial"/>
                <w:sz w:val="24"/>
              </w:rPr>
              <w:t>2</w:t>
            </w:r>
          </w:p>
        </w:tc>
        <w:tc>
          <w:tcPr>
            <w:tcW w:w="4558" w:type="dxa"/>
            <w:noWrap w:val="0"/>
            <w:vAlign w:val="center"/>
          </w:tcPr>
          <w:p>
            <w:pPr>
              <w:spacing w:line="360" w:lineRule="auto"/>
              <w:rPr>
                <w:rFonts w:ascii="Arial" w:hAnsi="Arial" w:cs="Arial"/>
                <w:sz w:val="24"/>
              </w:rPr>
            </w:pPr>
            <w:r>
              <w:rPr>
                <w:rFonts w:ascii="Arial" w:hAnsi="Arial" w:cs="Arial"/>
                <w:sz w:val="24"/>
              </w:rPr>
              <w:t>专利惯用语句基本表达正确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85" w:type="dxa"/>
            <w:vMerge w:val="continue"/>
            <w:noWrap w:val="0"/>
            <w:vAlign w:val="center"/>
          </w:tcPr>
          <w:p>
            <w:pPr>
              <w:spacing w:line="360" w:lineRule="auto"/>
              <w:jc w:val="center"/>
              <w:rPr>
                <w:rFonts w:ascii="Arial" w:hAnsi="Arial" w:cs="Arial"/>
                <w:sz w:val="24"/>
              </w:rPr>
            </w:pPr>
          </w:p>
        </w:tc>
        <w:tc>
          <w:tcPr>
            <w:tcW w:w="1700" w:type="dxa"/>
            <w:vMerge w:val="continue"/>
            <w:noWrap w:val="0"/>
            <w:vAlign w:val="center"/>
          </w:tcPr>
          <w:p>
            <w:pPr>
              <w:spacing w:line="360" w:lineRule="auto"/>
              <w:jc w:val="center"/>
              <w:rPr>
                <w:rFonts w:ascii="Arial" w:hAnsi="Arial" w:cs="Arial"/>
                <w:sz w:val="24"/>
              </w:rPr>
            </w:pPr>
          </w:p>
        </w:tc>
        <w:tc>
          <w:tcPr>
            <w:tcW w:w="1985" w:type="dxa"/>
            <w:noWrap w:val="0"/>
            <w:vAlign w:val="center"/>
          </w:tcPr>
          <w:p>
            <w:pPr>
              <w:spacing w:line="360" w:lineRule="auto"/>
              <w:jc w:val="center"/>
              <w:rPr>
                <w:rFonts w:ascii="Arial" w:hAnsi="Arial" w:cs="Arial"/>
                <w:sz w:val="24"/>
              </w:rPr>
            </w:pPr>
            <w:r>
              <w:rPr>
                <w:rFonts w:ascii="Arial" w:hAnsi="Arial" w:cs="Arial"/>
                <w:sz w:val="24"/>
              </w:rPr>
              <w:t>3</w:t>
            </w:r>
          </w:p>
        </w:tc>
        <w:tc>
          <w:tcPr>
            <w:tcW w:w="4558" w:type="dxa"/>
            <w:noWrap w:val="0"/>
            <w:vAlign w:val="center"/>
          </w:tcPr>
          <w:p>
            <w:pPr>
              <w:spacing w:line="360" w:lineRule="auto"/>
              <w:rPr>
                <w:rFonts w:ascii="Arial" w:hAnsi="Arial" w:cs="Arial"/>
                <w:sz w:val="24"/>
              </w:rPr>
            </w:pPr>
            <w:r>
              <w:rPr>
                <w:rFonts w:ascii="Arial" w:hAnsi="Arial" w:cs="Arial"/>
                <w:sz w:val="24"/>
              </w:rPr>
              <w:t>专利惯用语句完全表达正确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85" w:type="dxa"/>
            <w:vMerge w:val="continue"/>
            <w:noWrap w:val="0"/>
            <w:vAlign w:val="center"/>
          </w:tcPr>
          <w:p>
            <w:pPr>
              <w:spacing w:line="360" w:lineRule="auto"/>
              <w:jc w:val="center"/>
              <w:rPr>
                <w:rFonts w:ascii="Arial" w:hAnsi="Arial" w:cs="Arial"/>
                <w:sz w:val="24"/>
              </w:rPr>
            </w:pPr>
          </w:p>
        </w:tc>
        <w:tc>
          <w:tcPr>
            <w:tcW w:w="1700" w:type="dxa"/>
            <w:vMerge w:val="restart"/>
            <w:noWrap w:val="0"/>
            <w:vAlign w:val="center"/>
          </w:tcPr>
          <w:p>
            <w:pPr>
              <w:spacing w:line="360" w:lineRule="auto"/>
              <w:jc w:val="center"/>
              <w:rPr>
                <w:rFonts w:ascii="Arial" w:hAnsi="Arial" w:cs="Arial"/>
                <w:sz w:val="24"/>
              </w:rPr>
            </w:pPr>
            <w:r>
              <w:rPr>
                <w:rFonts w:ascii="Arial" w:hAnsi="Arial" w:cs="Arial"/>
                <w:sz w:val="24"/>
              </w:rPr>
              <w:t>技术参数</w:t>
            </w:r>
          </w:p>
        </w:tc>
        <w:tc>
          <w:tcPr>
            <w:tcW w:w="1985" w:type="dxa"/>
            <w:noWrap w:val="0"/>
            <w:vAlign w:val="center"/>
          </w:tcPr>
          <w:p>
            <w:pPr>
              <w:spacing w:line="360" w:lineRule="auto"/>
              <w:jc w:val="center"/>
              <w:rPr>
                <w:rFonts w:ascii="Arial" w:hAnsi="Arial" w:cs="Arial"/>
                <w:sz w:val="24"/>
              </w:rPr>
            </w:pPr>
            <w:r>
              <w:rPr>
                <w:rFonts w:ascii="Arial" w:hAnsi="Arial" w:cs="Arial"/>
                <w:sz w:val="24"/>
              </w:rPr>
              <w:t>0</w:t>
            </w:r>
          </w:p>
        </w:tc>
        <w:tc>
          <w:tcPr>
            <w:tcW w:w="4558" w:type="dxa"/>
            <w:noWrap w:val="0"/>
            <w:vAlign w:val="center"/>
          </w:tcPr>
          <w:p>
            <w:pPr>
              <w:spacing w:line="360" w:lineRule="auto"/>
              <w:rPr>
                <w:rFonts w:ascii="Arial" w:hAnsi="Arial" w:cs="Arial"/>
                <w:sz w:val="24"/>
              </w:rPr>
            </w:pPr>
            <w:r>
              <w:rPr>
                <w:rFonts w:ascii="Arial" w:hAnsi="Arial" w:cs="Arial"/>
                <w:sz w:val="24"/>
              </w:rPr>
              <w:t>全篇技术参数未译出或基本错误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85" w:type="dxa"/>
            <w:vMerge w:val="continue"/>
            <w:noWrap w:val="0"/>
            <w:vAlign w:val="center"/>
          </w:tcPr>
          <w:p>
            <w:pPr>
              <w:spacing w:line="360" w:lineRule="auto"/>
              <w:jc w:val="center"/>
              <w:rPr>
                <w:rFonts w:ascii="Arial" w:hAnsi="Arial" w:cs="Arial"/>
                <w:sz w:val="24"/>
              </w:rPr>
            </w:pPr>
          </w:p>
        </w:tc>
        <w:tc>
          <w:tcPr>
            <w:tcW w:w="1700" w:type="dxa"/>
            <w:vMerge w:val="continue"/>
            <w:noWrap w:val="0"/>
            <w:vAlign w:val="center"/>
          </w:tcPr>
          <w:p>
            <w:pPr>
              <w:spacing w:line="360" w:lineRule="auto"/>
              <w:rPr>
                <w:rFonts w:ascii="Arial" w:hAnsi="Arial" w:cs="Arial"/>
                <w:sz w:val="24"/>
              </w:rPr>
            </w:pPr>
          </w:p>
        </w:tc>
        <w:tc>
          <w:tcPr>
            <w:tcW w:w="1985" w:type="dxa"/>
            <w:noWrap w:val="0"/>
            <w:vAlign w:val="center"/>
          </w:tcPr>
          <w:p>
            <w:pPr>
              <w:spacing w:line="360" w:lineRule="auto"/>
              <w:jc w:val="center"/>
              <w:rPr>
                <w:rFonts w:ascii="Arial" w:hAnsi="Arial" w:cs="Arial"/>
                <w:sz w:val="24"/>
              </w:rPr>
            </w:pPr>
            <w:r>
              <w:rPr>
                <w:rFonts w:ascii="Arial" w:hAnsi="Arial" w:cs="Arial"/>
                <w:sz w:val="24"/>
              </w:rPr>
              <w:t>1</w:t>
            </w:r>
          </w:p>
        </w:tc>
        <w:tc>
          <w:tcPr>
            <w:tcW w:w="4558" w:type="dxa"/>
            <w:noWrap w:val="0"/>
            <w:vAlign w:val="center"/>
          </w:tcPr>
          <w:p>
            <w:pPr>
              <w:spacing w:line="360" w:lineRule="auto"/>
              <w:rPr>
                <w:rFonts w:ascii="Arial" w:hAnsi="Arial" w:cs="Arial"/>
                <w:sz w:val="24"/>
              </w:rPr>
            </w:pPr>
            <w:r>
              <w:rPr>
                <w:rFonts w:ascii="Arial" w:hAnsi="Arial" w:cs="Arial"/>
                <w:sz w:val="24"/>
              </w:rPr>
              <w:t>全篇技术参数基本翻译正确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85" w:type="dxa"/>
            <w:vMerge w:val="continue"/>
            <w:noWrap w:val="0"/>
            <w:vAlign w:val="center"/>
          </w:tcPr>
          <w:p>
            <w:pPr>
              <w:spacing w:line="360" w:lineRule="auto"/>
              <w:jc w:val="center"/>
              <w:rPr>
                <w:rFonts w:ascii="Arial" w:hAnsi="Arial" w:cs="Arial"/>
                <w:sz w:val="24"/>
              </w:rPr>
            </w:pPr>
          </w:p>
        </w:tc>
        <w:tc>
          <w:tcPr>
            <w:tcW w:w="1700" w:type="dxa"/>
            <w:vMerge w:val="continue"/>
            <w:noWrap w:val="0"/>
            <w:vAlign w:val="center"/>
          </w:tcPr>
          <w:p>
            <w:pPr>
              <w:spacing w:line="360" w:lineRule="auto"/>
              <w:rPr>
                <w:rFonts w:ascii="Arial" w:hAnsi="Arial" w:cs="Arial"/>
                <w:sz w:val="24"/>
              </w:rPr>
            </w:pPr>
          </w:p>
        </w:tc>
        <w:tc>
          <w:tcPr>
            <w:tcW w:w="1985" w:type="dxa"/>
            <w:noWrap w:val="0"/>
            <w:vAlign w:val="center"/>
          </w:tcPr>
          <w:p>
            <w:pPr>
              <w:spacing w:line="360" w:lineRule="auto"/>
              <w:jc w:val="center"/>
              <w:rPr>
                <w:rFonts w:ascii="Arial" w:hAnsi="Arial" w:cs="Arial"/>
                <w:sz w:val="24"/>
              </w:rPr>
            </w:pPr>
            <w:r>
              <w:rPr>
                <w:rFonts w:ascii="Arial" w:hAnsi="Arial" w:cs="Arial"/>
                <w:sz w:val="24"/>
              </w:rPr>
              <w:t>2</w:t>
            </w:r>
          </w:p>
        </w:tc>
        <w:tc>
          <w:tcPr>
            <w:tcW w:w="4558" w:type="dxa"/>
            <w:noWrap w:val="0"/>
            <w:vAlign w:val="center"/>
          </w:tcPr>
          <w:p>
            <w:pPr>
              <w:spacing w:line="360" w:lineRule="auto"/>
              <w:rPr>
                <w:rFonts w:ascii="Arial" w:hAnsi="Arial" w:cs="Arial"/>
                <w:sz w:val="24"/>
              </w:rPr>
            </w:pPr>
            <w:r>
              <w:rPr>
                <w:rFonts w:ascii="Arial" w:hAnsi="Arial" w:cs="Arial"/>
                <w:sz w:val="24"/>
              </w:rPr>
              <w:t>全篇技术参数完全翻译正确</w:t>
            </w:r>
          </w:p>
        </w:tc>
      </w:tr>
    </w:tbl>
    <w:p>
      <w:pPr>
        <w:spacing w:before="78" w:beforeLines="25" w:after="78" w:afterLines="25" w:line="360" w:lineRule="auto"/>
        <w:jc w:val="center"/>
        <w:rPr>
          <w:rFonts w:ascii="Arial" w:hAnsi="Arial" w:cs="Arial"/>
          <w:sz w:val="24"/>
        </w:rPr>
      </w:pPr>
    </w:p>
    <w:p>
      <w:pPr>
        <w:spacing w:before="78" w:beforeLines="25" w:after="78" w:afterLines="25" w:line="360" w:lineRule="auto"/>
        <w:jc w:val="center"/>
        <w:rPr>
          <w:rFonts w:ascii="Arial" w:hAnsi="Arial" w:cs="Arial"/>
          <w:sz w:val="24"/>
        </w:rPr>
      </w:pPr>
      <w:r>
        <w:rPr>
          <w:rFonts w:ascii="Arial" w:hAnsi="Arial" w:cs="Arial"/>
          <w:sz w:val="24"/>
        </w:rPr>
        <w:t>表</w:t>
      </w:r>
      <w:r>
        <w:rPr>
          <w:rFonts w:hint="eastAsia" w:ascii="Arial" w:hAnsi="Arial" w:cs="Arial"/>
          <w:sz w:val="24"/>
        </w:rPr>
        <w:t>2</w:t>
      </w:r>
      <w:r>
        <w:rPr>
          <w:rFonts w:ascii="Arial" w:hAnsi="Arial" w:cs="Arial"/>
          <w:sz w:val="24"/>
        </w:rPr>
        <w:t xml:space="preserve"> 可懂度指标的分值等级和得分标准</w:t>
      </w:r>
    </w:p>
    <w:tbl>
      <w:tblPr>
        <w:tblStyle w:val="5"/>
        <w:tblW w:w="96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1417"/>
        <w:gridCol w:w="1277"/>
        <w:gridCol w:w="56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2" w:type="dxa"/>
            <w:noWrap w:val="0"/>
            <w:vAlign w:val="center"/>
          </w:tcPr>
          <w:p>
            <w:pPr>
              <w:spacing w:before="156" w:beforeLines="50" w:line="360" w:lineRule="auto"/>
              <w:jc w:val="center"/>
              <w:rPr>
                <w:rFonts w:ascii="Arial" w:hAnsi="Arial" w:cs="Arial"/>
                <w:b/>
                <w:sz w:val="24"/>
              </w:rPr>
            </w:pPr>
            <w:r>
              <w:rPr>
                <w:rFonts w:ascii="Arial" w:hAnsi="Arial" w:cs="Arial"/>
                <w:b/>
                <w:sz w:val="24"/>
              </w:rPr>
              <w:t>一级指标</w:t>
            </w:r>
          </w:p>
        </w:tc>
        <w:tc>
          <w:tcPr>
            <w:tcW w:w="1417" w:type="dxa"/>
            <w:noWrap w:val="0"/>
            <w:vAlign w:val="center"/>
          </w:tcPr>
          <w:p>
            <w:pPr>
              <w:spacing w:before="156" w:beforeLines="50" w:line="360" w:lineRule="auto"/>
              <w:jc w:val="center"/>
              <w:rPr>
                <w:rFonts w:ascii="Arial" w:hAnsi="Arial" w:cs="Arial"/>
                <w:b/>
                <w:sz w:val="24"/>
              </w:rPr>
            </w:pPr>
            <w:r>
              <w:rPr>
                <w:rFonts w:ascii="Arial" w:hAnsi="Arial" w:cs="Arial"/>
                <w:b/>
                <w:sz w:val="24"/>
              </w:rPr>
              <w:t>二级指标</w:t>
            </w:r>
          </w:p>
        </w:tc>
        <w:tc>
          <w:tcPr>
            <w:tcW w:w="1277" w:type="dxa"/>
            <w:noWrap w:val="0"/>
            <w:vAlign w:val="center"/>
          </w:tcPr>
          <w:p>
            <w:pPr>
              <w:spacing w:before="156" w:beforeLines="50" w:line="360" w:lineRule="auto"/>
              <w:jc w:val="center"/>
              <w:rPr>
                <w:rFonts w:ascii="Arial" w:hAnsi="Arial" w:eastAsia="黑体" w:cs="Arial"/>
                <w:b/>
                <w:bCs/>
                <w:w w:val="80"/>
                <w:sz w:val="24"/>
              </w:rPr>
            </w:pPr>
            <w:r>
              <w:rPr>
                <w:rFonts w:ascii="Arial" w:hAnsi="Arial" w:cs="Arial"/>
                <w:b/>
                <w:sz w:val="24"/>
              </w:rPr>
              <w:t>分值等级</w:t>
            </w:r>
          </w:p>
        </w:tc>
        <w:tc>
          <w:tcPr>
            <w:tcW w:w="5692" w:type="dxa"/>
            <w:noWrap w:val="0"/>
            <w:vAlign w:val="center"/>
          </w:tcPr>
          <w:p>
            <w:pPr>
              <w:spacing w:before="156" w:beforeLines="50" w:line="360" w:lineRule="auto"/>
              <w:jc w:val="center"/>
              <w:rPr>
                <w:rFonts w:ascii="Arial" w:hAnsi="Arial" w:eastAsia="黑体" w:cs="Arial"/>
                <w:b/>
                <w:bCs/>
                <w:w w:val="80"/>
                <w:sz w:val="24"/>
              </w:rPr>
            </w:pPr>
            <w:r>
              <w:rPr>
                <w:rFonts w:ascii="Arial" w:hAnsi="Arial" w:cs="Arial"/>
                <w:b/>
                <w:sz w:val="24"/>
              </w:rPr>
              <w:t>得分标准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2" w:type="dxa"/>
            <w:vMerge w:val="restart"/>
            <w:noWrap w:val="0"/>
            <w:vAlign w:val="center"/>
          </w:tcPr>
          <w:p>
            <w:pPr>
              <w:spacing w:line="360" w:lineRule="auto"/>
              <w:jc w:val="center"/>
              <w:rPr>
                <w:rFonts w:ascii="Arial" w:hAnsi="Arial" w:cs="Arial"/>
                <w:sz w:val="24"/>
              </w:rPr>
            </w:pPr>
            <w:r>
              <w:rPr>
                <w:rFonts w:ascii="Arial" w:hAnsi="Arial" w:cs="Arial"/>
                <w:sz w:val="24"/>
              </w:rPr>
              <w:t>可</w:t>
            </w:r>
          </w:p>
          <w:p>
            <w:pPr>
              <w:spacing w:line="360" w:lineRule="auto"/>
              <w:jc w:val="center"/>
              <w:rPr>
                <w:rFonts w:ascii="Arial" w:hAnsi="Arial" w:cs="Arial"/>
                <w:sz w:val="24"/>
              </w:rPr>
            </w:pPr>
            <w:r>
              <w:rPr>
                <w:rFonts w:ascii="Arial" w:hAnsi="Arial" w:cs="Arial"/>
                <w:sz w:val="24"/>
              </w:rPr>
              <w:t>懂</w:t>
            </w:r>
          </w:p>
          <w:p>
            <w:pPr>
              <w:spacing w:line="360" w:lineRule="auto"/>
              <w:jc w:val="center"/>
              <w:rPr>
                <w:rFonts w:ascii="Arial" w:hAnsi="Arial" w:cs="Arial"/>
                <w:sz w:val="24"/>
              </w:rPr>
            </w:pPr>
            <w:r>
              <w:rPr>
                <w:rFonts w:ascii="Arial" w:hAnsi="Arial" w:cs="Arial"/>
                <w:sz w:val="24"/>
              </w:rPr>
              <w:t>度</w:t>
            </w:r>
          </w:p>
          <w:p>
            <w:pPr>
              <w:spacing w:line="360" w:lineRule="auto"/>
              <w:jc w:val="center"/>
              <w:rPr>
                <w:rFonts w:ascii="Arial" w:hAnsi="Arial" w:cs="Arial"/>
                <w:sz w:val="24"/>
              </w:rPr>
            </w:pPr>
            <w:r>
              <w:rPr>
                <w:rFonts w:ascii="Arial" w:hAnsi="Arial" w:cs="Arial"/>
                <w:sz w:val="24"/>
              </w:rPr>
              <w:t>指</w:t>
            </w:r>
          </w:p>
          <w:p>
            <w:pPr>
              <w:spacing w:line="360" w:lineRule="auto"/>
              <w:jc w:val="center"/>
              <w:rPr>
                <w:rFonts w:ascii="Arial" w:hAnsi="Arial" w:cs="Arial"/>
                <w:sz w:val="24"/>
              </w:rPr>
            </w:pPr>
            <w:r>
              <w:rPr>
                <w:rFonts w:ascii="Arial" w:hAnsi="Arial" w:cs="Arial"/>
                <w:sz w:val="24"/>
              </w:rPr>
              <w:t>标</w:t>
            </w:r>
          </w:p>
        </w:tc>
        <w:tc>
          <w:tcPr>
            <w:tcW w:w="1417" w:type="dxa"/>
            <w:vMerge w:val="restart"/>
            <w:noWrap w:val="0"/>
            <w:vAlign w:val="center"/>
          </w:tcPr>
          <w:p>
            <w:pPr>
              <w:spacing w:line="360" w:lineRule="auto"/>
              <w:jc w:val="center"/>
              <w:rPr>
                <w:rFonts w:ascii="Arial" w:hAnsi="Arial" w:cs="Arial"/>
                <w:sz w:val="24"/>
              </w:rPr>
            </w:pPr>
            <w:r>
              <w:rPr>
                <w:rFonts w:ascii="Arial" w:hAnsi="Arial" w:cs="Arial"/>
                <w:sz w:val="24"/>
              </w:rPr>
              <w:t>逻辑及语态</w:t>
            </w:r>
          </w:p>
        </w:tc>
        <w:tc>
          <w:tcPr>
            <w:tcW w:w="1277" w:type="dxa"/>
            <w:noWrap w:val="0"/>
            <w:vAlign w:val="center"/>
          </w:tcPr>
          <w:p>
            <w:pPr>
              <w:spacing w:line="360" w:lineRule="auto"/>
              <w:jc w:val="center"/>
              <w:rPr>
                <w:rFonts w:ascii="Arial" w:hAnsi="Arial" w:cs="Arial"/>
                <w:sz w:val="24"/>
              </w:rPr>
            </w:pPr>
            <w:r>
              <w:rPr>
                <w:rFonts w:ascii="Arial" w:hAnsi="Arial" w:cs="Arial"/>
                <w:sz w:val="24"/>
              </w:rPr>
              <w:t>0</w:t>
            </w:r>
          </w:p>
        </w:tc>
        <w:tc>
          <w:tcPr>
            <w:tcW w:w="5692" w:type="dxa"/>
            <w:noWrap w:val="0"/>
            <w:vAlign w:val="center"/>
          </w:tcPr>
          <w:p>
            <w:pPr>
              <w:spacing w:line="360" w:lineRule="auto"/>
              <w:rPr>
                <w:rFonts w:ascii="Arial" w:hAnsi="Arial" w:cs="Arial"/>
                <w:sz w:val="24"/>
              </w:rPr>
            </w:pPr>
            <w:r>
              <w:rPr>
                <w:rFonts w:ascii="Arial" w:hAnsi="Arial" w:cs="Arial"/>
                <w:sz w:val="24"/>
              </w:rPr>
              <w:t>逻辑关系或语态处理使译文完全错误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2" w:type="dxa"/>
            <w:vMerge w:val="continue"/>
            <w:noWrap w:val="0"/>
            <w:vAlign w:val="center"/>
          </w:tcPr>
          <w:p>
            <w:pPr>
              <w:spacing w:line="360" w:lineRule="auto"/>
              <w:jc w:val="center"/>
              <w:rPr>
                <w:rFonts w:ascii="Arial" w:hAnsi="Arial" w:cs="Arial"/>
                <w:sz w:val="24"/>
              </w:rPr>
            </w:pPr>
          </w:p>
        </w:tc>
        <w:tc>
          <w:tcPr>
            <w:tcW w:w="1417" w:type="dxa"/>
            <w:vMerge w:val="continue"/>
            <w:noWrap w:val="0"/>
            <w:vAlign w:val="center"/>
          </w:tcPr>
          <w:p>
            <w:pPr>
              <w:spacing w:line="360" w:lineRule="auto"/>
              <w:jc w:val="center"/>
              <w:rPr>
                <w:rFonts w:ascii="Arial" w:hAnsi="Arial" w:cs="Arial"/>
                <w:sz w:val="24"/>
              </w:rPr>
            </w:pPr>
          </w:p>
        </w:tc>
        <w:tc>
          <w:tcPr>
            <w:tcW w:w="1277" w:type="dxa"/>
            <w:noWrap w:val="0"/>
            <w:vAlign w:val="center"/>
          </w:tcPr>
          <w:p>
            <w:pPr>
              <w:spacing w:line="360" w:lineRule="auto"/>
              <w:jc w:val="center"/>
              <w:rPr>
                <w:rFonts w:ascii="Arial" w:hAnsi="Arial" w:cs="Arial"/>
                <w:sz w:val="24"/>
              </w:rPr>
            </w:pPr>
            <w:r>
              <w:rPr>
                <w:rFonts w:ascii="Arial" w:hAnsi="Arial" w:cs="Arial"/>
                <w:sz w:val="24"/>
              </w:rPr>
              <w:t>1</w:t>
            </w:r>
          </w:p>
        </w:tc>
        <w:tc>
          <w:tcPr>
            <w:tcW w:w="5692" w:type="dxa"/>
            <w:noWrap w:val="0"/>
            <w:vAlign w:val="center"/>
          </w:tcPr>
          <w:p>
            <w:pPr>
              <w:spacing w:line="360" w:lineRule="auto"/>
              <w:rPr>
                <w:rFonts w:ascii="Arial" w:hAnsi="Arial" w:cs="Arial"/>
                <w:sz w:val="24"/>
              </w:rPr>
            </w:pPr>
            <w:r>
              <w:rPr>
                <w:rFonts w:ascii="Arial" w:hAnsi="Arial" w:cs="Arial"/>
                <w:sz w:val="24"/>
              </w:rPr>
              <w:t>逻辑关系或语态处理使仅有少数译文符合原文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2" w:type="dxa"/>
            <w:vMerge w:val="continue"/>
            <w:noWrap w:val="0"/>
            <w:vAlign w:val="center"/>
          </w:tcPr>
          <w:p>
            <w:pPr>
              <w:spacing w:line="360" w:lineRule="auto"/>
              <w:jc w:val="center"/>
              <w:rPr>
                <w:rFonts w:ascii="Arial" w:hAnsi="Arial" w:cs="Arial"/>
                <w:sz w:val="24"/>
              </w:rPr>
            </w:pPr>
          </w:p>
        </w:tc>
        <w:tc>
          <w:tcPr>
            <w:tcW w:w="1417" w:type="dxa"/>
            <w:vMerge w:val="continue"/>
            <w:noWrap w:val="0"/>
            <w:vAlign w:val="center"/>
          </w:tcPr>
          <w:p>
            <w:pPr>
              <w:spacing w:line="360" w:lineRule="auto"/>
              <w:jc w:val="center"/>
              <w:rPr>
                <w:rFonts w:ascii="Arial" w:hAnsi="Arial" w:cs="Arial"/>
                <w:sz w:val="24"/>
              </w:rPr>
            </w:pPr>
          </w:p>
        </w:tc>
        <w:tc>
          <w:tcPr>
            <w:tcW w:w="1277" w:type="dxa"/>
            <w:noWrap w:val="0"/>
            <w:vAlign w:val="center"/>
          </w:tcPr>
          <w:p>
            <w:pPr>
              <w:spacing w:line="360" w:lineRule="auto"/>
              <w:jc w:val="center"/>
              <w:rPr>
                <w:rFonts w:ascii="Arial" w:hAnsi="Arial" w:cs="Arial"/>
                <w:sz w:val="24"/>
              </w:rPr>
            </w:pPr>
            <w:r>
              <w:rPr>
                <w:rFonts w:ascii="Arial" w:hAnsi="Arial" w:cs="Arial"/>
                <w:sz w:val="24"/>
              </w:rPr>
              <w:t>2</w:t>
            </w:r>
          </w:p>
        </w:tc>
        <w:tc>
          <w:tcPr>
            <w:tcW w:w="5692" w:type="dxa"/>
            <w:noWrap w:val="0"/>
            <w:vAlign w:val="center"/>
          </w:tcPr>
          <w:p>
            <w:pPr>
              <w:spacing w:line="360" w:lineRule="auto"/>
              <w:rPr>
                <w:rFonts w:ascii="Arial" w:hAnsi="Arial" w:cs="Arial"/>
                <w:sz w:val="24"/>
              </w:rPr>
            </w:pPr>
            <w:r>
              <w:rPr>
                <w:rFonts w:ascii="Arial" w:hAnsi="Arial" w:cs="Arial"/>
                <w:sz w:val="24"/>
              </w:rPr>
              <w:t>逻辑关系或语态处理使译文基本正确表达了原文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2" w:type="dxa"/>
            <w:vMerge w:val="continue"/>
            <w:noWrap w:val="0"/>
            <w:vAlign w:val="center"/>
          </w:tcPr>
          <w:p>
            <w:pPr>
              <w:spacing w:line="360" w:lineRule="auto"/>
              <w:jc w:val="center"/>
              <w:rPr>
                <w:rFonts w:ascii="Arial" w:hAnsi="Arial" w:cs="Arial"/>
                <w:sz w:val="24"/>
              </w:rPr>
            </w:pPr>
          </w:p>
        </w:tc>
        <w:tc>
          <w:tcPr>
            <w:tcW w:w="1417" w:type="dxa"/>
            <w:vMerge w:val="continue"/>
            <w:noWrap w:val="0"/>
            <w:vAlign w:val="center"/>
          </w:tcPr>
          <w:p>
            <w:pPr>
              <w:spacing w:line="360" w:lineRule="auto"/>
              <w:jc w:val="center"/>
              <w:rPr>
                <w:rFonts w:ascii="Arial" w:hAnsi="Arial" w:cs="Arial"/>
                <w:sz w:val="24"/>
              </w:rPr>
            </w:pPr>
          </w:p>
        </w:tc>
        <w:tc>
          <w:tcPr>
            <w:tcW w:w="1277" w:type="dxa"/>
            <w:noWrap w:val="0"/>
            <w:vAlign w:val="center"/>
          </w:tcPr>
          <w:p>
            <w:pPr>
              <w:spacing w:line="360" w:lineRule="auto"/>
              <w:jc w:val="center"/>
              <w:rPr>
                <w:rFonts w:ascii="Arial" w:hAnsi="Arial" w:cs="Arial"/>
                <w:sz w:val="24"/>
              </w:rPr>
            </w:pPr>
            <w:r>
              <w:rPr>
                <w:rFonts w:ascii="Arial" w:hAnsi="Arial" w:cs="Arial"/>
                <w:sz w:val="24"/>
              </w:rPr>
              <w:t>3</w:t>
            </w:r>
          </w:p>
        </w:tc>
        <w:tc>
          <w:tcPr>
            <w:tcW w:w="5692" w:type="dxa"/>
            <w:noWrap w:val="0"/>
            <w:vAlign w:val="center"/>
          </w:tcPr>
          <w:p>
            <w:pPr>
              <w:spacing w:line="360" w:lineRule="auto"/>
              <w:rPr>
                <w:rFonts w:ascii="Arial" w:hAnsi="Arial" w:cs="Arial"/>
                <w:sz w:val="24"/>
              </w:rPr>
            </w:pPr>
            <w:r>
              <w:rPr>
                <w:rFonts w:ascii="Arial" w:hAnsi="Arial" w:cs="Arial"/>
                <w:sz w:val="24"/>
              </w:rPr>
              <w:t>逻辑关系或语态处理使译文具有较强可读性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2" w:type="dxa"/>
            <w:vMerge w:val="continue"/>
            <w:noWrap w:val="0"/>
            <w:vAlign w:val="center"/>
          </w:tcPr>
          <w:p>
            <w:pPr>
              <w:spacing w:line="360" w:lineRule="auto"/>
              <w:jc w:val="center"/>
              <w:rPr>
                <w:rFonts w:ascii="Arial" w:hAnsi="Arial" w:cs="Arial"/>
                <w:sz w:val="24"/>
              </w:rPr>
            </w:pPr>
          </w:p>
        </w:tc>
        <w:tc>
          <w:tcPr>
            <w:tcW w:w="1417" w:type="dxa"/>
            <w:vMerge w:val="restart"/>
            <w:noWrap w:val="0"/>
            <w:vAlign w:val="center"/>
          </w:tcPr>
          <w:p>
            <w:pPr>
              <w:spacing w:line="360" w:lineRule="auto"/>
              <w:jc w:val="center"/>
              <w:rPr>
                <w:rFonts w:ascii="Arial" w:hAnsi="Arial" w:cs="Arial"/>
                <w:sz w:val="24"/>
              </w:rPr>
            </w:pPr>
            <w:r>
              <w:rPr>
                <w:rFonts w:ascii="Arial" w:hAnsi="Arial" w:cs="Arial"/>
                <w:sz w:val="24"/>
              </w:rPr>
              <w:t>语序</w:t>
            </w:r>
          </w:p>
        </w:tc>
        <w:tc>
          <w:tcPr>
            <w:tcW w:w="1277" w:type="dxa"/>
            <w:noWrap w:val="0"/>
            <w:vAlign w:val="center"/>
          </w:tcPr>
          <w:p>
            <w:pPr>
              <w:spacing w:line="360" w:lineRule="auto"/>
              <w:jc w:val="center"/>
              <w:rPr>
                <w:rFonts w:ascii="Arial" w:hAnsi="Arial" w:cs="Arial"/>
                <w:sz w:val="24"/>
              </w:rPr>
            </w:pPr>
            <w:r>
              <w:rPr>
                <w:rFonts w:ascii="Arial" w:hAnsi="Arial" w:cs="Arial"/>
                <w:sz w:val="24"/>
              </w:rPr>
              <w:t>0</w:t>
            </w:r>
          </w:p>
        </w:tc>
        <w:tc>
          <w:tcPr>
            <w:tcW w:w="5692" w:type="dxa"/>
            <w:noWrap w:val="0"/>
            <w:vAlign w:val="center"/>
          </w:tcPr>
          <w:p>
            <w:pPr>
              <w:spacing w:line="360" w:lineRule="auto"/>
              <w:rPr>
                <w:rFonts w:ascii="Arial" w:hAnsi="Arial" w:cs="Arial"/>
                <w:sz w:val="24"/>
              </w:rPr>
            </w:pPr>
            <w:r>
              <w:rPr>
                <w:rFonts w:ascii="Arial" w:hAnsi="Arial" w:cs="Arial"/>
                <w:sz w:val="24"/>
              </w:rPr>
              <w:t>语序处理使翻译结果完全不可理解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2" w:type="dxa"/>
            <w:vMerge w:val="continue"/>
            <w:noWrap w:val="0"/>
            <w:vAlign w:val="center"/>
          </w:tcPr>
          <w:p>
            <w:pPr>
              <w:spacing w:line="360" w:lineRule="auto"/>
              <w:jc w:val="center"/>
              <w:rPr>
                <w:rFonts w:ascii="Arial" w:hAnsi="Arial" w:cs="Arial"/>
                <w:sz w:val="24"/>
              </w:rPr>
            </w:pPr>
          </w:p>
        </w:tc>
        <w:tc>
          <w:tcPr>
            <w:tcW w:w="1417" w:type="dxa"/>
            <w:vMerge w:val="continue"/>
            <w:noWrap w:val="0"/>
            <w:vAlign w:val="center"/>
          </w:tcPr>
          <w:p>
            <w:pPr>
              <w:spacing w:line="360" w:lineRule="auto"/>
              <w:rPr>
                <w:rFonts w:ascii="Arial" w:hAnsi="Arial" w:cs="Arial"/>
                <w:sz w:val="24"/>
              </w:rPr>
            </w:pPr>
          </w:p>
        </w:tc>
        <w:tc>
          <w:tcPr>
            <w:tcW w:w="1277" w:type="dxa"/>
            <w:noWrap w:val="0"/>
            <w:vAlign w:val="center"/>
          </w:tcPr>
          <w:p>
            <w:pPr>
              <w:spacing w:line="360" w:lineRule="auto"/>
              <w:jc w:val="center"/>
              <w:rPr>
                <w:rFonts w:ascii="Arial" w:hAnsi="Arial" w:cs="Arial"/>
                <w:sz w:val="24"/>
              </w:rPr>
            </w:pPr>
            <w:r>
              <w:rPr>
                <w:rFonts w:ascii="Arial" w:hAnsi="Arial" w:cs="Arial"/>
                <w:sz w:val="24"/>
              </w:rPr>
              <w:t>1</w:t>
            </w:r>
          </w:p>
        </w:tc>
        <w:tc>
          <w:tcPr>
            <w:tcW w:w="5692" w:type="dxa"/>
            <w:noWrap w:val="0"/>
            <w:vAlign w:val="center"/>
          </w:tcPr>
          <w:p>
            <w:pPr>
              <w:spacing w:line="360" w:lineRule="auto"/>
              <w:rPr>
                <w:rFonts w:ascii="Arial" w:hAnsi="Arial" w:cs="Arial"/>
                <w:sz w:val="24"/>
              </w:rPr>
            </w:pPr>
            <w:r>
              <w:rPr>
                <w:rFonts w:ascii="Arial" w:hAnsi="Arial" w:cs="Arial"/>
                <w:sz w:val="24"/>
              </w:rPr>
              <w:t>语序处理使翻译结果晦涩难懂，译文不知所云或意思基本不对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2" w:type="dxa"/>
            <w:vMerge w:val="continue"/>
            <w:noWrap w:val="0"/>
            <w:vAlign w:val="center"/>
          </w:tcPr>
          <w:p>
            <w:pPr>
              <w:spacing w:line="360" w:lineRule="auto"/>
              <w:jc w:val="center"/>
              <w:rPr>
                <w:rFonts w:ascii="Arial" w:hAnsi="Arial" w:cs="Arial"/>
                <w:sz w:val="24"/>
              </w:rPr>
            </w:pPr>
          </w:p>
        </w:tc>
        <w:tc>
          <w:tcPr>
            <w:tcW w:w="1417" w:type="dxa"/>
            <w:vMerge w:val="continue"/>
            <w:noWrap w:val="0"/>
            <w:vAlign w:val="center"/>
          </w:tcPr>
          <w:p>
            <w:pPr>
              <w:spacing w:line="360" w:lineRule="auto"/>
              <w:rPr>
                <w:rFonts w:ascii="Arial" w:hAnsi="Arial" w:cs="Arial"/>
                <w:sz w:val="24"/>
              </w:rPr>
            </w:pPr>
          </w:p>
        </w:tc>
        <w:tc>
          <w:tcPr>
            <w:tcW w:w="1277" w:type="dxa"/>
            <w:noWrap w:val="0"/>
            <w:vAlign w:val="center"/>
          </w:tcPr>
          <w:p>
            <w:pPr>
              <w:spacing w:line="360" w:lineRule="auto"/>
              <w:jc w:val="center"/>
              <w:rPr>
                <w:rFonts w:ascii="Arial" w:hAnsi="Arial" w:cs="Arial"/>
                <w:sz w:val="24"/>
              </w:rPr>
            </w:pPr>
            <w:r>
              <w:rPr>
                <w:rFonts w:ascii="Arial" w:hAnsi="Arial" w:cs="Arial"/>
                <w:sz w:val="24"/>
              </w:rPr>
              <w:t>2</w:t>
            </w:r>
          </w:p>
        </w:tc>
        <w:tc>
          <w:tcPr>
            <w:tcW w:w="5692" w:type="dxa"/>
            <w:noWrap w:val="0"/>
            <w:vAlign w:val="center"/>
          </w:tcPr>
          <w:p>
            <w:pPr>
              <w:spacing w:line="360" w:lineRule="auto"/>
              <w:rPr>
                <w:rFonts w:ascii="Arial" w:hAnsi="Arial" w:cs="Arial"/>
                <w:sz w:val="24"/>
              </w:rPr>
            </w:pPr>
            <w:r>
              <w:rPr>
                <w:rFonts w:ascii="Arial" w:hAnsi="Arial" w:cs="Arial"/>
                <w:sz w:val="24"/>
              </w:rPr>
              <w:t>语序处理使翻译结果很不流畅，译文仅有一部分与原文的部分意思相符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2" w:type="dxa"/>
            <w:vMerge w:val="continue"/>
            <w:noWrap w:val="0"/>
            <w:vAlign w:val="center"/>
          </w:tcPr>
          <w:p>
            <w:pPr>
              <w:spacing w:line="360" w:lineRule="auto"/>
              <w:jc w:val="center"/>
              <w:rPr>
                <w:rFonts w:ascii="Arial" w:hAnsi="Arial" w:cs="Arial"/>
                <w:sz w:val="24"/>
              </w:rPr>
            </w:pPr>
          </w:p>
        </w:tc>
        <w:tc>
          <w:tcPr>
            <w:tcW w:w="1417" w:type="dxa"/>
            <w:vMerge w:val="continue"/>
            <w:noWrap w:val="0"/>
            <w:vAlign w:val="center"/>
          </w:tcPr>
          <w:p>
            <w:pPr>
              <w:spacing w:line="360" w:lineRule="auto"/>
              <w:rPr>
                <w:rFonts w:ascii="Arial" w:hAnsi="Arial" w:cs="Arial"/>
                <w:sz w:val="24"/>
              </w:rPr>
            </w:pPr>
          </w:p>
        </w:tc>
        <w:tc>
          <w:tcPr>
            <w:tcW w:w="1277" w:type="dxa"/>
            <w:noWrap w:val="0"/>
            <w:vAlign w:val="center"/>
          </w:tcPr>
          <w:p>
            <w:pPr>
              <w:spacing w:line="360" w:lineRule="auto"/>
              <w:jc w:val="center"/>
              <w:rPr>
                <w:rFonts w:ascii="Arial" w:hAnsi="Arial" w:cs="Arial"/>
                <w:sz w:val="24"/>
              </w:rPr>
            </w:pPr>
            <w:r>
              <w:rPr>
                <w:rFonts w:ascii="Arial" w:hAnsi="Arial" w:cs="Arial"/>
                <w:sz w:val="24"/>
              </w:rPr>
              <w:t>3</w:t>
            </w:r>
          </w:p>
        </w:tc>
        <w:tc>
          <w:tcPr>
            <w:tcW w:w="5692" w:type="dxa"/>
            <w:noWrap w:val="0"/>
            <w:vAlign w:val="center"/>
          </w:tcPr>
          <w:p>
            <w:pPr>
              <w:spacing w:line="360" w:lineRule="auto"/>
              <w:rPr>
                <w:rFonts w:ascii="Arial" w:hAnsi="Arial" w:cs="Arial"/>
                <w:sz w:val="24"/>
              </w:rPr>
            </w:pPr>
            <w:r>
              <w:rPr>
                <w:rFonts w:ascii="Arial" w:hAnsi="Arial" w:cs="Arial"/>
                <w:sz w:val="24"/>
              </w:rPr>
              <w:t>语序处理使翻译结果基本流畅，译文大致传达了原文的信息，只与原文有局部的出入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2" w:type="dxa"/>
            <w:vMerge w:val="continue"/>
            <w:noWrap w:val="0"/>
            <w:vAlign w:val="center"/>
          </w:tcPr>
          <w:p>
            <w:pPr>
              <w:spacing w:line="360" w:lineRule="auto"/>
              <w:jc w:val="center"/>
              <w:rPr>
                <w:rFonts w:ascii="Arial" w:hAnsi="Arial" w:cs="Arial"/>
                <w:sz w:val="24"/>
              </w:rPr>
            </w:pPr>
          </w:p>
        </w:tc>
        <w:tc>
          <w:tcPr>
            <w:tcW w:w="1417" w:type="dxa"/>
            <w:vMerge w:val="continue"/>
            <w:noWrap w:val="0"/>
            <w:vAlign w:val="center"/>
          </w:tcPr>
          <w:p>
            <w:pPr>
              <w:spacing w:line="360" w:lineRule="auto"/>
              <w:rPr>
                <w:rFonts w:ascii="Arial" w:hAnsi="Arial" w:cs="Arial"/>
                <w:sz w:val="24"/>
              </w:rPr>
            </w:pPr>
          </w:p>
        </w:tc>
        <w:tc>
          <w:tcPr>
            <w:tcW w:w="1277" w:type="dxa"/>
            <w:noWrap w:val="0"/>
            <w:vAlign w:val="center"/>
          </w:tcPr>
          <w:p>
            <w:pPr>
              <w:spacing w:line="360" w:lineRule="auto"/>
              <w:jc w:val="center"/>
              <w:rPr>
                <w:rFonts w:ascii="Arial" w:hAnsi="Arial" w:cs="Arial"/>
                <w:sz w:val="24"/>
              </w:rPr>
            </w:pPr>
            <w:r>
              <w:rPr>
                <w:rFonts w:ascii="Arial" w:hAnsi="Arial" w:cs="Arial"/>
                <w:sz w:val="24"/>
              </w:rPr>
              <w:t>4</w:t>
            </w:r>
          </w:p>
        </w:tc>
        <w:tc>
          <w:tcPr>
            <w:tcW w:w="5692" w:type="dxa"/>
            <w:noWrap w:val="0"/>
            <w:vAlign w:val="center"/>
          </w:tcPr>
          <w:p>
            <w:pPr>
              <w:spacing w:line="360" w:lineRule="auto"/>
              <w:rPr>
                <w:rFonts w:ascii="Arial" w:hAnsi="Arial" w:cs="Arial"/>
                <w:sz w:val="24"/>
              </w:rPr>
            </w:pPr>
            <w:r>
              <w:rPr>
                <w:rFonts w:ascii="Arial" w:hAnsi="Arial" w:cs="Arial"/>
                <w:sz w:val="24"/>
              </w:rPr>
              <w:t>语序处理使翻译结果流畅但不够地道，译文传达了原文的信息，不用参照原文，就能明白译文的意思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2" w:type="dxa"/>
            <w:vMerge w:val="continue"/>
            <w:noWrap w:val="0"/>
            <w:vAlign w:val="center"/>
          </w:tcPr>
          <w:p>
            <w:pPr>
              <w:spacing w:line="360" w:lineRule="auto"/>
              <w:jc w:val="center"/>
              <w:rPr>
                <w:rFonts w:ascii="Arial" w:hAnsi="Arial" w:cs="Arial"/>
                <w:sz w:val="24"/>
              </w:rPr>
            </w:pPr>
          </w:p>
        </w:tc>
        <w:tc>
          <w:tcPr>
            <w:tcW w:w="1417" w:type="dxa"/>
            <w:vMerge w:val="continue"/>
            <w:noWrap w:val="0"/>
            <w:vAlign w:val="center"/>
          </w:tcPr>
          <w:p>
            <w:pPr>
              <w:spacing w:line="360" w:lineRule="auto"/>
              <w:rPr>
                <w:rFonts w:ascii="Arial" w:hAnsi="Arial" w:cs="Arial"/>
                <w:sz w:val="24"/>
              </w:rPr>
            </w:pPr>
          </w:p>
        </w:tc>
        <w:tc>
          <w:tcPr>
            <w:tcW w:w="1277" w:type="dxa"/>
            <w:noWrap w:val="0"/>
            <w:vAlign w:val="center"/>
          </w:tcPr>
          <w:p>
            <w:pPr>
              <w:spacing w:line="360" w:lineRule="auto"/>
              <w:jc w:val="center"/>
              <w:rPr>
                <w:rFonts w:ascii="Arial" w:hAnsi="Arial" w:cs="Arial"/>
                <w:sz w:val="24"/>
              </w:rPr>
            </w:pPr>
            <w:r>
              <w:rPr>
                <w:rFonts w:ascii="Arial" w:hAnsi="Arial" w:cs="Arial"/>
                <w:sz w:val="24"/>
              </w:rPr>
              <w:t>5</w:t>
            </w:r>
          </w:p>
        </w:tc>
        <w:tc>
          <w:tcPr>
            <w:tcW w:w="5692" w:type="dxa"/>
            <w:noWrap w:val="0"/>
            <w:vAlign w:val="center"/>
          </w:tcPr>
          <w:p>
            <w:pPr>
              <w:spacing w:line="360" w:lineRule="auto"/>
              <w:rPr>
                <w:rFonts w:ascii="Arial" w:hAnsi="Arial" w:cs="Arial"/>
                <w:sz w:val="24"/>
              </w:rPr>
            </w:pPr>
            <w:r>
              <w:rPr>
                <w:rFonts w:ascii="Arial" w:hAnsi="Arial" w:cs="Arial"/>
                <w:sz w:val="24"/>
              </w:rPr>
              <w:t>语序处理使翻译结果流畅而且地道，译文准确流畅地传达了原文的信息，除个别错别字、单复数、地道性等小问题外，不存在很大的问题</w:t>
            </w:r>
          </w:p>
        </w:tc>
      </w:tr>
    </w:tbl>
    <w:p>
      <w:pPr>
        <w:spacing w:before="78" w:beforeLines="25" w:after="78" w:afterLines="25" w:line="360" w:lineRule="auto"/>
        <w:jc w:val="center"/>
        <w:rPr>
          <w:rFonts w:ascii="Arial" w:hAnsi="Arial" w:cs="Arial"/>
          <w:sz w:val="24"/>
        </w:rPr>
      </w:pPr>
      <w:r>
        <w:rPr>
          <w:rFonts w:ascii="Arial" w:hAnsi="Arial" w:cs="Arial"/>
          <w:sz w:val="24"/>
        </w:rPr>
        <w:t>表</w:t>
      </w:r>
      <w:r>
        <w:rPr>
          <w:rFonts w:hint="eastAsia" w:ascii="Arial" w:hAnsi="Arial" w:cs="Arial"/>
          <w:sz w:val="24"/>
        </w:rPr>
        <w:t>3</w:t>
      </w:r>
      <w:r>
        <w:rPr>
          <w:rFonts w:ascii="Arial" w:hAnsi="Arial" w:cs="Arial"/>
          <w:sz w:val="24"/>
        </w:rPr>
        <w:t xml:space="preserve"> 格式符号指标的分值等级和得分标准</w:t>
      </w:r>
    </w:p>
    <w:tbl>
      <w:tblPr>
        <w:tblStyle w:val="5"/>
        <w:tblW w:w="96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8"/>
        <w:gridCol w:w="1701"/>
        <w:gridCol w:w="1843"/>
        <w:gridCol w:w="4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8" w:type="dxa"/>
            <w:noWrap w:val="0"/>
            <w:vAlign w:val="center"/>
          </w:tcPr>
          <w:p>
            <w:pPr>
              <w:spacing w:before="156" w:beforeLines="50" w:line="360" w:lineRule="auto"/>
              <w:jc w:val="center"/>
              <w:rPr>
                <w:rFonts w:ascii="Arial" w:hAnsi="Arial" w:eastAsia="黑体" w:cs="Arial"/>
                <w:b/>
                <w:bCs/>
                <w:w w:val="80"/>
                <w:sz w:val="24"/>
              </w:rPr>
            </w:pPr>
            <w:r>
              <w:rPr>
                <w:rFonts w:ascii="Arial" w:hAnsi="Arial" w:cs="Arial"/>
                <w:b/>
                <w:sz w:val="24"/>
              </w:rPr>
              <w:t>一级指标</w:t>
            </w:r>
          </w:p>
        </w:tc>
        <w:tc>
          <w:tcPr>
            <w:tcW w:w="1701" w:type="dxa"/>
            <w:noWrap w:val="0"/>
            <w:vAlign w:val="center"/>
          </w:tcPr>
          <w:p>
            <w:pPr>
              <w:spacing w:before="156" w:beforeLines="50" w:line="360" w:lineRule="auto"/>
              <w:jc w:val="center"/>
              <w:rPr>
                <w:rFonts w:ascii="Arial" w:hAnsi="Arial" w:eastAsia="黑体" w:cs="Arial"/>
                <w:b/>
                <w:bCs/>
                <w:w w:val="80"/>
                <w:sz w:val="24"/>
              </w:rPr>
            </w:pPr>
            <w:r>
              <w:rPr>
                <w:rFonts w:ascii="Arial" w:hAnsi="Arial" w:cs="Arial"/>
                <w:b/>
                <w:sz w:val="24"/>
              </w:rPr>
              <w:t>二级指标</w:t>
            </w:r>
          </w:p>
        </w:tc>
        <w:tc>
          <w:tcPr>
            <w:tcW w:w="1843" w:type="dxa"/>
            <w:noWrap w:val="0"/>
            <w:vAlign w:val="center"/>
          </w:tcPr>
          <w:p>
            <w:pPr>
              <w:spacing w:before="156" w:beforeLines="50" w:line="360" w:lineRule="auto"/>
              <w:jc w:val="center"/>
              <w:rPr>
                <w:rFonts w:ascii="Arial" w:hAnsi="Arial" w:eastAsia="黑体" w:cs="Arial"/>
                <w:b/>
                <w:bCs/>
                <w:w w:val="80"/>
                <w:sz w:val="24"/>
              </w:rPr>
            </w:pPr>
            <w:r>
              <w:rPr>
                <w:rFonts w:ascii="Arial" w:hAnsi="Arial" w:cs="Arial"/>
                <w:b/>
                <w:sz w:val="24"/>
              </w:rPr>
              <w:t>分值等级</w:t>
            </w:r>
          </w:p>
        </w:tc>
        <w:tc>
          <w:tcPr>
            <w:tcW w:w="4276" w:type="dxa"/>
            <w:noWrap w:val="0"/>
            <w:vAlign w:val="center"/>
          </w:tcPr>
          <w:p>
            <w:pPr>
              <w:spacing w:before="156" w:beforeLines="50" w:line="360" w:lineRule="auto"/>
              <w:jc w:val="center"/>
              <w:rPr>
                <w:rFonts w:ascii="Arial" w:hAnsi="Arial" w:eastAsia="黑体" w:cs="Arial"/>
                <w:b/>
                <w:bCs/>
                <w:w w:val="80"/>
                <w:sz w:val="24"/>
              </w:rPr>
            </w:pPr>
            <w:r>
              <w:rPr>
                <w:rFonts w:ascii="Arial" w:hAnsi="Arial" w:cs="Arial"/>
                <w:b/>
                <w:sz w:val="24"/>
              </w:rPr>
              <w:t>得分标准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8" w:type="dxa"/>
            <w:vMerge w:val="restart"/>
            <w:noWrap w:val="0"/>
            <w:vAlign w:val="center"/>
          </w:tcPr>
          <w:p>
            <w:pPr>
              <w:spacing w:line="360" w:lineRule="auto"/>
              <w:jc w:val="center"/>
              <w:rPr>
                <w:rFonts w:ascii="Arial" w:hAnsi="Arial" w:cs="Arial"/>
                <w:sz w:val="24"/>
              </w:rPr>
            </w:pPr>
            <w:r>
              <w:rPr>
                <w:rFonts w:ascii="Arial" w:hAnsi="Arial" w:cs="Arial"/>
                <w:sz w:val="24"/>
              </w:rPr>
              <w:t>格式</w:t>
            </w:r>
          </w:p>
          <w:p>
            <w:pPr>
              <w:spacing w:line="360" w:lineRule="auto"/>
              <w:jc w:val="center"/>
              <w:rPr>
                <w:rFonts w:ascii="Arial" w:hAnsi="Arial" w:cs="Arial"/>
                <w:sz w:val="24"/>
              </w:rPr>
            </w:pPr>
            <w:r>
              <w:rPr>
                <w:rFonts w:ascii="Arial" w:hAnsi="Arial" w:cs="Arial"/>
                <w:sz w:val="24"/>
              </w:rPr>
              <w:t>符号</w:t>
            </w:r>
          </w:p>
          <w:p>
            <w:pPr>
              <w:spacing w:line="360" w:lineRule="auto"/>
              <w:jc w:val="center"/>
              <w:rPr>
                <w:rFonts w:ascii="Arial" w:hAnsi="Arial" w:cs="Arial"/>
                <w:sz w:val="24"/>
              </w:rPr>
            </w:pPr>
            <w:r>
              <w:rPr>
                <w:rFonts w:ascii="Arial" w:hAnsi="Arial" w:cs="Arial"/>
                <w:sz w:val="24"/>
              </w:rPr>
              <w:t>指标</w:t>
            </w:r>
          </w:p>
        </w:tc>
        <w:tc>
          <w:tcPr>
            <w:tcW w:w="1701" w:type="dxa"/>
            <w:vMerge w:val="restart"/>
            <w:noWrap w:val="0"/>
            <w:vAlign w:val="center"/>
          </w:tcPr>
          <w:p>
            <w:pPr>
              <w:spacing w:line="360" w:lineRule="auto"/>
              <w:jc w:val="center"/>
              <w:rPr>
                <w:rFonts w:ascii="Arial" w:hAnsi="Arial" w:cs="Arial"/>
                <w:sz w:val="24"/>
              </w:rPr>
            </w:pPr>
            <w:r>
              <w:rPr>
                <w:rFonts w:ascii="Arial" w:hAnsi="Arial" w:cs="Arial"/>
                <w:sz w:val="24"/>
              </w:rPr>
              <w:t>格式符号</w:t>
            </w:r>
          </w:p>
        </w:tc>
        <w:tc>
          <w:tcPr>
            <w:tcW w:w="1843" w:type="dxa"/>
            <w:noWrap w:val="0"/>
            <w:vAlign w:val="center"/>
          </w:tcPr>
          <w:p>
            <w:pPr>
              <w:spacing w:line="360" w:lineRule="auto"/>
              <w:jc w:val="center"/>
              <w:rPr>
                <w:rFonts w:ascii="Arial" w:hAnsi="Arial" w:cs="Arial"/>
                <w:sz w:val="24"/>
              </w:rPr>
            </w:pPr>
            <w:r>
              <w:rPr>
                <w:rFonts w:ascii="Arial" w:hAnsi="Arial" w:cs="Arial"/>
                <w:sz w:val="24"/>
              </w:rPr>
              <w:t>0</w:t>
            </w:r>
          </w:p>
        </w:tc>
        <w:tc>
          <w:tcPr>
            <w:tcW w:w="4276" w:type="dxa"/>
            <w:noWrap w:val="0"/>
            <w:vAlign w:val="center"/>
          </w:tcPr>
          <w:p>
            <w:pPr>
              <w:spacing w:line="360" w:lineRule="auto"/>
              <w:rPr>
                <w:rFonts w:ascii="Arial" w:hAnsi="Arial" w:cs="Arial"/>
                <w:sz w:val="24"/>
              </w:rPr>
            </w:pPr>
            <w:r>
              <w:rPr>
                <w:rFonts w:ascii="Arial" w:hAnsi="Arial" w:cs="Arial"/>
                <w:sz w:val="24"/>
              </w:rPr>
              <w:t>全篇格式符号完全错误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8" w:type="dxa"/>
            <w:vMerge w:val="continue"/>
            <w:noWrap w:val="0"/>
            <w:vAlign w:val="center"/>
          </w:tcPr>
          <w:p>
            <w:pPr>
              <w:spacing w:line="360" w:lineRule="auto"/>
              <w:jc w:val="center"/>
              <w:rPr>
                <w:rFonts w:ascii="Arial" w:hAnsi="Arial" w:cs="Arial"/>
                <w:sz w:val="24"/>
              </w:rPr>
            </w:pPr>
          </w:p>
        </w:tc>
        <w:tc>
          <w:tcPr>
            <w:tcW w:w="1701" w:type="dxa"/>
            <w:vMerge w:val="continue"/>
            <w:noWrap w:val="0"/>
            <w:vAlign w:val="center"/>
          </w:tcPr>
          <w:p>
            <w:pPr>
              <w:spacing w:line="360" w:lineRule="auto"/>
              <w:jc w:val="center"/>
              <w:rPr>
                <w:rFonts w:ascii="Arial" w:hAnsi="Arial" w:cs="Arial"/>
                <w:sz w:val="24"/>
              </w:rPr>
            </w:pPr>
          </w:p>
        </w:tc>
        <w:tc>
          <w:tcPr>
            <w:tcW w:w="1843" w:type="dxa"/>
            <w:noWrap w:val="0"/>
            <w:vAlign w:val="center"/>
          </w:tcPr>
          <w:p>
            <w:pPr>
              <w:spacing w:line="360" w:lineRule="auto"/>
              <w:jc w:val="center"/>
              <w:rPr>
                <w:rFonts w:ascii="Arial" w:hAnsi="Arial" w:cs="Arial"/>
                <w:sz w:val="24"/>
              </w:rPr>
            </w:pPr>
            <w:r>
              <w:rPr>
                <w:rFonts w:ascii="Arial" w:hAnsi="Arial" w:cs="Arial"/>
                <w:sz w:val="24"/>
              </w:rPr>
              <w:t>1</w:t>
            </w:r>
          </w:p>
        </w:tc>
        <w:tc>
          <w:tcPr>
            <w:tcW w:w="4276" w:type="dxa"/>
            <w:noWrap w:val="0"/>
            <w:vAlign w:val="center"/>
          </w:tcPr>
          <w:p>
            <w:pPr>
              <w:spacing w:line="360" w:lineRule="auto"/>
              <w:rPr>
                <w:rFonts w:ascii="Arial" w:hAnsi="Arial" w:cs="Arial"/>
                <w:sz w:val="24"/>
              </w:rPr>
            </w:pPr>
            <w:r>
              <w:rPr>
                <w:rFonts w:ascii="Arial" w:hAnsi="Arial" w:cs="Arial"/>
                <w:sz w:val="24"/>
              </w:rPr>
              <w:t>全篇格式符号基本正确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8" w:type="dxa"/>
            <w:vMerge w:val="continue"/>
            <w:noWrap w:val="0"/>
            <w:vAlign w:val="center"/>
          </w:tcPr>
          <w:p>
            <w:pPr>
              <w:spacing w:line="360" w:lineRule="auto"/>
              <w:jc w:val="center"/>
              <w:rPr>
                <w:rFonts w:ascii="Arial" w:hAnsi="Arial" w:cs="Arial"/>
                <w:sz w:val="24"/>
              </w:rPr>
            </w:pPr>
          </w:p>
        </w:tc>
        <w:tc>
          <w:tcPr>
            <w:tcW w:w="1701" w:type="dxa"/>
            <w:vMerge w:val="continue"/>
            <w:noWrap w:val="0"/>
            <w:vAlign w:val="center"/>
          </w:tcPr>
          <w:p>
            <w:pPr>
              <w:spacing w:line="360" w:lineRule="auto"/>
              <w:jc w:val="center"/>
              <w:rPr>
                <w:rFonts w:ascii="Arial" w:hAnsi="Arial" w:cs="Arial"/>
                <w:sz w:val="24"/>
              </w:rPr>
            </w:pPr>
          </w:p>
        </w:tc>
        <w:tc>
          <w:tcPr>
            <w:tcW w:w="1843" w:type="dxa"/>
            <w:noWrap w:val="0"/>
            <w:vAlign w:val="center"/>
          </w:tcPr>
          <w:p>
            <w:pPr>
              <w:spacing w:line="360" w:lineRule="auto"/>
              <w:jc w:val="center"/>
              <w:rPr>
                <w:rFonts w:ascii="Arial" w:hAnsi="Arial" w:cs="Arial"/>
                <w:sz w:val="24"/>
              </w:rPr>
            </w:pPr>
            <w:r>
              <w:rPr>
                <w:rFonts w:ascii="Arial" w:hAnsi="Arial" w:cs="Arial"/>
                <w:sz w:val="24"/>
              </w:rPr>
              <w:t>2</w:t>
            </w:r>
          </w:p>
        </w:tc>
        <w:tc>
          <w:tcPr>
            <w:tcW w:w="4276" w:type="dxa"/>
            <w:noWrap w:val="0"/>
            <w:vAlign w:val="center"/>
          </w:tcPr>
          <w:p>
            <w:pPr>
              <w:spacing w:line="360" w:lineRule="auto"/>
              <w:rPr>
                <w:rFonts w:ascii="Arial" w:hAnsi="Arial" w:cs="Arial"/>
                <w:sz w:val="24"/>
              </w:rPr>
            </w:pPr>
            <w:r>
              <w:rPr>
                <w:rFonts w:ascii="Arial" w:hAnsi="Arial" w:cs="Arial"/>
                <w:sz w:val="24"/>
              </w:rPr>
              <w:t>全篇格式符号完全正确</w:t>
            </w:r>
          </w:p>
        </w:tc>
      </w:tr>
    </w:tbl>
    <w:p>
      <w:pPr>
        <w:keepNext/>
        <w:keepLines/>
        <w:spacing w:before="280" w:after="290" w:line="360" w:lineRule="auto"/>
        <w:outlineLvl w:val="3"/>
        <w:rPr>
          <w:rFonts w:ascii="Arial" w:hAnsi="Arial" w:cs="Arial"/>
          <w:bCs/>
          <w:kern w:val="0"/>
          <w:sz w:val="24"/>
        </w:rPr>
      </w:pPr>
      <w:r>
        <w:rPr>
          <w:rFonts w:ascii="Arial" w:hAnsi="Arial" w:cs="Arial"/>
          <w:bCs/>
          <w:kern w:val="0"/>
          <w:sz w:val="24"/>
        </w:rPr>
        <w:t>3.</w:t>
      </w:r>
      <w:r>
        <w:rPr>
          <w:rFonts w:hint="eastAsia" w:ascii="Arial" w:hAnsi="Arial" w:cs="Arial"/>
          <w:bCs/>
          <w:kern w:val="0"/>
          <w:sz w:val="24"/>
        </w:rPr>
        <w:t>5</w:t>
      </w:r>
      <w:r>
        <w:rPr>
          <w:rFonts w:ascii="Arial" w:hAnsi="Arial" w:cs="Arial"/>
          <w:bCs/>
          <w:kern w:val="0"/>
          <w:sz w:val="24"/>
        </w:rPr>
        <w:t>.1.</w:t>
      </w:r>
      <w:r>
        <w:rPr>
          <w:rFonts w:ascii="Arial" w:hAnsi="Arial" w:cs="Arial"/>
          <w:bCs/>
          <w:kern w:val="0"/>
          <w:sz w:val="24"/>
          <w:lang w:val="en"/>
        </w:rPr>
        <w:t>2</w:t>
      </w:r>
      <w:r>
        <w:rPr>
          <w:rFonts w:ascii="Arial" w:hAnsi="Arial" w:cs="Arial"/>
          <w:bCs/>
          <w:kern w:val="0"/>
          <w:sz w:val="24"/>
        </w:rPr>
        <w:t xml:space="preserve"> 外文</w:t>
      </w:r>
      <w:r>
        <w:rPr>
          <w:rFonts w:hint="eastAsia" w:ascii="Arial" w:hAnsi="Arial" w:cs="Arial"/>
          <w:bCs/>
          <w:kern w:val="0"/>
          <w:sz w:val="24"/>
        </w:rPr>
        <w:t>专利</w:t>
      </w:r>
      <w:r>
        <w:rPr>
          <w:rFonts w:ascii="Arial" w:hAnsi="Arial" w:cs="Arial"/>
          <w:bCs/>
          <w:kern w:val="0"/>
          <w:sz w:val="24"/>
        </w:rPr>
        <w:t>文献翻译数据</w:t>
      </w:r>
    </w:p>
    <w:p>
      <w:pPr>
        <w:spacing w:line="360" w:lineRule="auto"/>
        <w:ind w:firstLine="480" w:firstLineChars="200"/>
        <w:rPr>
          <w:rFonts w:ascii="Arial" w:hAnsi="Arial" w:cs="Arial"/>
          <w:bCs/>
          <w:sz w:val="24"/>
        </w:rPr>
      </w:pPr>
      <w:r>
        <w:rPr>
          <w:rFonts w:ascii="Arial" w:hAnsi="Arial" w:cs="Arial"/>
          <w:bCs/>
          <w:sz w:val="24"/>
        </w:rPr>
        <w:t>外文</w:t>
      </w:r>
      <w:r>
        <w:rPr>
          <w:rFonts w:hint="eastAsia" w:ascii="Arial" w:hAnsi="Arial" w:cs="Arial"/>
          <w:bCs/>
          <w:sz w:val="24"/>
        </w:rPr>
        <w:t>专利</w:t>
      </w:r>
      <w:r>
        <w:rPr>
          <w:rFonts w:ascii="Arial" w:hAnsi="Arial" w:cs="Arial"/>
          <w:bCs/>
          <w:sz w:val="24"/>
        </w:rPr>
        <w:t>文献翻译数据，</w:t>
      </w:r>
      <w:r>
        <w:rPr>
          <w:rFonts w:hint="eastAsia" w:ascii="Arial" w:hAnsi="Arial" w:cs="Arial"/>
          <w:bCs/>
          <w:sz w:val="24"/>
        </w:rPr>
        <w:t>“日</w:t>
      </w:r>
      <w:r>
        <w:rPr>
          <w:rFonts w:ascii="Arial" w:hAnsi="Arial" w:cs="Arial"/>
          <w:bCs/>
          <w:sz w:val="24"/>
        </w:rPr>
        <w:t>-中</w:t>
      </w:r>
      <w:r>
        <w:rPr>
          <w:rFonts w:hint="eastAsia" w:ascii="Arial" w:hAnsi="Arial" w:cs="Arial"/>
          <w:bCs/>
          <w:sz w:val="24"/>
        </w:rPr>
        <w:t>”</w:t>
      </w:r>
      <w:r>
        <w:rPr>
          <w:rFonts w:ascii="Arial" w:hAnsi="Arial" w:cs="Arial"/>
          <w:bCs/>
          <w:sz w:val="24"/>
        </w:rPr>
        <w:t>翻译结果的BLEU 值不低于25%。</w:t>
      </w:r>
    </w:p>
    <w:p>
      <w:pPr>
        <w:spacing w:line="360" w:lineRule="auto"/>
        <w:ind w:firstLine="480" w:firstLineChars="200"/>
        <w:rPr>
          <w:rFonts w:ascii="Arial" w:hAnsi="Arial" w:cs="Arial"/>
          <w:bCs/>
          <w:sz w:val="24"/>
        </w:rPr>
      </w:pPr>
      <w:r>
        <w:rPr>
          <w:rFonts w:ascii="Arial" w:hAnsi="Arial" w:cs="Arial"/>
          <w:bCs/>
          <w:sz w:val="24"/>
        </w:rPr>
        <w:t>采用BLEU 值作为评测机器翻译为主的外文</w:t>
      </w:r>
      <w:r>
        <w:rPr>
          <w:rFonts w:hint="eastAsia" w:ascii="Arial" w:hAnsi="Arial" w:cs="Arial"/>
          <w:bCs/>
          <w:sz w:val="24"/>
        </w:rPr>
        <w:t>专利</w:t>
      </w:r>
      <w:r>
        <w:rPr>
          <w:rFonts w:ascii="Arial" w:hAnsi="Arial" w:cs="Arial"/>
          <w:bCs/>
          <w:sz w:val="24"/>
        </w:rPr>
        <w:t>文献翻译数据的质量合格指标，其计算公式如下：</w:t>
      </w:r>
    </w:p>
    <w:p>
      <w:pPr>
        <w:spacing w:line="360" w:lineRule="auto"/>
        <w:rPr>
          <w:rFonts w:ascii="Arial" w:hAnsi="Arial" w:cs="Arial"/>
          <w:bCs/>
          <w:sz w:val="24"/>
        </w:rPr>
      </w:pPr>
      <w:r>
        <w:rPr>
          <w:rFonts w:ascii="Arial" w:hAnsi="Arial" w:cs="Arial"/>
          <w:bCs/>
          <w:sz w:val="24"/>
        </w:rPr>
        <w:t xml:space="preserve">    </w:t>
      </w:r>
      <w:r>
        <w:rPr>
          <w:rFonts w:ascii="Arial" w:hAnsi="Arial" w:cs="Arial"/>
          <w:position w:val="-28"/>
          <w:sz w:val="24"/>
        </w:rPr>
        <w:drawing>
          <wp:inline distT="0" distB="0" distL="114300" distR="114300">
            <wp:extent cx="2572385" cy="546100"/>
            <wp:effectExtent l="0" t="0" r="3175" b="2540"/>
            <wp:docPr id="3" name="图片 2" descr="IMG_6529(20200807-15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6529(20200807-151103)"/>
                    <pic:cNvPicPr>
                      <a:picLocks noChangeAspect="1"/>
                    </pic:cNvPicPr>
                  </pic:nvPicPr>
                  <pic:blipFill>
                    <a:blip r:embed="rId8"/>
                    <a:stretch>
                      <a:fillRect/>
                    </a:stretch>
                  </pic:blipFill>
                  <pic:spPr>
                    <a:xfrm>
                      <a:off x="0" y="0"/>
                      <a:ext cx="2572385" cy="546100"/>
                    </a:xfrm>
                    <a:prstGeom prst="rect">
                      <a:avLst/>
                    </a:prstGeom>
                    <a:noFill/>
                    <a:ln>
                      <a:noFill/>
                    </a:ln>
                  </pic:spPr>
                </pic:pic>
              </a:graphicData>
            </a:graphic>
          </wp:inline>
        </w:drawing>
      </w:r>
    </w:p>
    <w:p>
      <w:pPr>
        <w:spacing w:line="360" w:lineRule="auto"/>
        <w:ind w:firstLine="640"/>
        <w:rPr>
          <w:rFonts w:ascii="Arial" w:hAnsi="Arial" w:cs="Arial"/>
          <w:bCs/>
          <w:sz w:val="24"/>
        </w:rPr>
      </w:pPr>
      <w:r>
        <w:rPr>
          <w:rFonts w:ascii="Arial" w:hAnsi="Arial" w:cs="Arial"/>
          <w:bCs/>
          <w:sz w:val="24"/>
        </w:rPr>
        <w:t>其中，</w:t>
      </w:r>
    </w:p>
    <w:p>
      <w:pPr>
        <w:spacing w:line="360" w:lineRule="auto"/>
        <w:ind w:firstLine="1005" w:firstLineChars="419"/>
        <w:rPr>
          <w:rFonts w:ascii="Arial" w:hAnsi="Arial" w:cs="Arial"/>
          <w:b/>
          <w:bCs/>
          <w:kern w:val="0"/>
          <w:sz w:val="24"/>
        </w:rPr>
      </w:pPr>
      <w:r>
        <w:rPr>
          <w:rFonts w:ascii="Arial" w:hAnsi="Arial" w:cs="Arial"/>
          <w:bCs/>
          <w:position w:val="-26"/>
          <w:sz w:val="24"/>
        </w:rPr>
        <w:drawing>
          <wp:inline distT="0" distB="0" distL="114300" distR="114300">
            <wp:extent cx="1104900" cy="401320"/>
            <wp:effectExtent l="0" t="0" r="7620" b="1079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stretch>
                      <a:fillRect/>
                    </a:stretch>
                  </pic:blipFill>
                  <pic:spPr>
                    <a:xfrm>
                      <a:off x="0" y="0"/>
                      <a:ext cx="1104900" cy="401320"/>
                    </a:xfrm>
                    <a:prstGeom prst="rect">
                      <a:avLst/>
                    </a:prstGeom>
                    <a:noFill/>
                    <a:ln>
                      <a:noFill/>
                    </a:ln>
                  </pic:spPr>
                </pic:pic>
              </a:graphicData>
            </a:graphic>
          </wp:inline>
        </w:drawing>
      </w:r>
    </w:p>
    <w:p>
      <w:pPr>
        <w:keepNext/>
        <w:keepLines/>
        <w:spacing w:before="260" w:after="260" w:line="360" w:lineRule="auto"/>
        <w:outlineLvl w:val="2"/>
        <w:rPr>
          <w:rFonts w:ascii="Arial" w:hAnsi="Arial" w:cs="Arial"/>
          <w:b/>
          <w:bCs/>
          <w:kern w:val="0"/>
          <w:sz w:val="24"/>
        </w:rPr>
      </w:pPr>
      <w:r>
        <w:rPr>
          <w:rFonts w:ascii="Arial" w:hAnsi="Arial" w:cs="Arial"/>
          <w:b/>
          <w:bCs/>
          <w:kern w:val="0"/>
          <w:sz w:val="24"/>
        </w:rPr>
        <w:t>3.</w:t>
      </w:r>
      <w:r>
        <w:rPr>
          <w:rFonts w:hint="eastAsia" w:ascii="Arial" w:hAnsi="Arial" w:cs="Arial"/>
          <w:b/>
          <w:bCs/>
          <w:kern w:val="0"/>
          <w:sz w:val="24"/>
        </w:rPr>
        <w:t>5</w:t>
      </w:r>
      <w:r>
        <w:rPr>
          <w:rFonts w:ascii="Arial" w:hAnsi="Arial" w:cs="Arial"/>
          <w:b/>
          <w:bCs/>
          <w:kern w:val="0"/>
          <w:sz w:val="24"/>
        </w:rPr>
        <w:t>.2及时性</w:t>
      </w:r>
    </w:p>
    <w:p>
      <w:pPr>
        <w:spacing w:line="360" w:lineRule="auto"/>
        <w:ind w:firstLine="480" w:firstLineChars="200"/>
        <w:rPr>
          <w:rFonts w:ascii="Arial" w:hAnsi="Arial" w:cs="Arial"/>
          <w:bCs/>
          <w:sz w:val="24"/>
        </w:rPr>
      </w:pPr>
      <w:r>
        <w:rPr>
          <w:rFonts w:ascii="Arial" w:hAnsi="Arial" w:cs="Arial"/>
          <w:bCs/>
          <w:sz w:val="24"/>
        </w:rPr>
        <w:t>投标人应统筹负责严格按照加工时限要求完成数据加工工作：</w:t>
      </w:r>
    </w:p>
    <w:p>
      <w:pPr>
        <w:spacing w:line="360" w:lineRule="auto"/>
        <w:ind w:firstLine="480" w:firstLineChars="200"/>
        <w:rPr>
          <w:rFonts w:ascii="Arial" w:hAnsi="Arial" w:cs="Arial"/>
          <w:bCs/>
          <w:sz w:val="24"/>
        </w:rPr>
      </w:pPr>
      <w:r>
        <w:rPr>
          <w:rFonts w:ascii="Arial" w:hAnsi="Arial" w:cs="Arial"/>
          <w:bCs/>
          <w:sz w:val="24"/>
        </w:rPr>
        <w:t>3.5.2.1 投标人应统筹负责自接收数据起不迟于30个自然日内，向招标人提交中国专利文献数据加工产品。</w:t>
      </w:r>
    </w:p>
    <w:p>
      <w:pPr>
        <w:spacing w:line="360" w:lineRule="auto"/>
        <w:ind w:firstLine="480" w:firstLineChars="200"/>
        <w:rPr>
          <w:rFonts w:ascii="Arial" w:hAnsi="Arial" w:cs="Arial"/>
          <w:bCs/>
          <w:sz w:val="24"/>
        </w:rPr>
      </w:pPr>
      <w:r>
        <w:rPr>
          <w:rFonts w:ascii="Arial" w:hAnsi="Arial" w:cs="Arial"/>
          <w:bCs/>
          <w:sz w:val="24"/>
        </w:rPr>
        <w:t>3.5.2.2 投标人应统筹负责在每月5日前按照招标人要求向招标人递交上月完成的包括成品数据在内的中国专利文献产品交付物。</w:t>
      </w:r>
    </w:p>
    <w:p>
      <w:pPr>
        <w:spacing w:line="360" w:lineRule="auto"/>
        <w:ind w:firstLine="480" w:firstLineChars="200"/>
        <w:rPr>
          <w:rFonts w:ascii="Arial" w:hAnsi="Arial" w:cs="Arial"/>
          <w:bCs/>
          <w:sz w:val="24"/>
        </w:rPr>
      </w:pPr>
      <w:r>
        <w:rPr>
          <w:rFonts w:ascii="Arial" w:hAnsi="Arial" w:cs="Arial"/>
          <w:bCs/>
          <w:sz w:val="24"/>
        </w:rPr>
        <w:t>3.5.2.3 待完成招标人规定期限的加工数据后，投标人向招标人提交一套当年完整的中国专利文献成品数据。</w:t>
      </w:r>
    </w:p>
    <w:p>
      <w:pPr>
        <w:spacing w:line="360" w:lineRule="auto"/>
        <w:ind w:firstLine="480" w:firstLineChars="200"/>
        <w:rPr>
          <w:rFonts w:ascii="Arial" w:hAnsi="Arial" w:cs="Arial"/>
          <w:bCs/>
          <w:sz w:val="24"/>
        </w:rPr>
      </w:pPr>
      <w:r>
        <w:rPr>
          <w:rFonts w:ascii="Arial" w:hAnsi="Arial" w:cs="Arial"/>
          <w:bCs/>
          <w:sz w:val="24"/>
        </w:rPr>
        <w:t>3.5.2.4投标人应按照招标人要求统筹负责按月提交外文</w:t>
      </w:r>
      <w:r>
        <w:rPr>
          <w:rFonts w:hint="eastAsia" w:ascii="Arial" w:hAnsi="Arial" w:cs="Arial"/>
          <w:bCs/>
          <w:sz w:val="24"/>
        </w:rPr>
        <w:t>专利</w:t>
      </w:r>
      <w:r>
        <w:rPr>
          <w:rFonts w:ascii="Arial" w:hAnsi="Arial" w:cs="Arial"/>
          <w:bCs/>
          <w:sz w:val="24"/>
        </w:rPr>
        <w:t>文献翻译结果。</w:t>
      </w:r>
    </w:p>
    <w:p>
      <w:pPr>
        <w:spacing w:line="360" w:lineRule="auto"/>
        <w:rPr>
          <w:rFonts w:ascii="Arial" w:hAnsi="Arial" w:cs="Arial"/>
          <w:b/>
          <w:bCs/>
          <w:kern w:val="0"/>
          <w:sz w:val="24"/>
        </w:rPr>
      </w:pPr>
      <w:r>
        <w:rPr>
          <w:rFonts w:ascii="Arial" w:hAnsi="Arial" w:cs="Arial"/>
          <w:b/>
          <w:bCs/>
          <w:kern w:val="0"/>
          <w:sz w:val="24"/>
        </w:rPr>
        <w:t>3.</w:t>
      </w:r>
      <w:r>
        <w:rPr>
          <w:rFonts w:hint="eastAsia" w:ascii="Arial" w:hAnsi="Arial" w:cs="Arial"/>
          <w:b/>
          <w:bCs/>
          <w:kern w:val="0"/>
          <w:sz w:val="24"/>
        </w:rPr>
        <w:t>5</w:t>
      </w:r>
      <w:r>
        <w:rPr>
          <w:rFonts w:ascii="Arial" w:hAnsi="Arial" w:cs="Arial"/>
          <w:b/>
          <w:bCs/>
          <w:kern w:val="0"/>
          <w:sz w:val="24"/>
        </w:rPr>
        <w:t>.3完整性</w:t>
      </w:r>
    </w:p>
    <w:p>
      <w:pPr>
        <w:spacing w:line="360" w:lineRule="auto"/>
        <w:ind w:firstLine="480" w:firstLineChars="200"/>
        <w:rPr>
          <w:rFonts w:ascii="Arial" w:hAnsi="Arial" w:cs="Arial"/>
          <w:bCs/>
          <w:sz w:val="24"/>
        </w:rPr>
      </w:pPr>
      <w:r>
        <w:rPr>
          <w:rFonts w:ascii="Arial" w:hAnsi="Arial" w:cs="Arial"/>
          <w:bCs/>
          <w:sz w:val="24"/>
        </w:rPr>
        <w:t>投标人应保证交付数据的完整性，确保全部数据源均按要求进行了数据处理和加工，保证加工后的数据能满足招标人各类业务需要。</w:t>
      </w:r>
    </w:p>
    <w:p>
      <w:pPr>
        <w:keepNext/>
        <w:keepLines/>
        <w:spacing w:before="260" w:after="260" w:line="360" w:lineRule="auto"/>
        <w:outlineLvl w:val="2"/>
        <w:rPr>
          <w:rFonts w:ascii="Arial" w:hAnsi="Arial" w:cs="Arial"/>
          <w:b/>
          <w:bCs/>
          <w:kern w:val="0"/>
          <w:sz w:val="24"/>
        </w:rPr>
      </w:pPr>
      <w:r>
        <w:rPr>
          <w:rFonts w:ascii="Arial" w:hAnsi="Arial" w:cs="Arial"/>
          <w:b/>
          <w:bCs/>
          <w:kern w:val="0"/>
          <w:sz w:val="24"/>
        </w:rPr>
        <w:t>3.</w:t>
      </w:r>
      <w:r>
        <w:rPr>
          <w:rFonts w:hint="eastAsia" w:ascii="Arial" w:hAnsi="Arial" w:cs="Arial"/>
          <w:b/>
          <w:bCs/>
          <w:kern w:val="0"/>
          <w:sz w:val="24"/>
        </w:rPr>
        <w:t>5</w:t>
      </w:r>
      <w:r>
        <w:rPr>
          <w:rFonts w:ascii="Arial" w:hAnsi="Arial" w:cs="Arial"/>
          <w:b/>
          <w:bCs/>
          <w:kern w:val="0"/>
          <w:sz w:val="24"/>
        </w:rPr>
        <w:t>.4一致性</w:t>
      </w:r>
    </w:p>
    <w:p>
      <w:pPr>
        <w:spacing w:line="360" w:lineRule="auto"/>
        <w:ind w:firstLine="480" w:firstLineChars="200"/>
        <w:rPr>
          <w:rFonts w:ascii="Arial" w:hAnsi="Arial" w:cs="Arial"/>
          <w:bCs/>
          <w:sz w:val="24"/>
        </w:rPr>
      </w:pPr>
      <w:r>
        <w:rPr>
          <w:rFonts w:ascii="Arial" w:hAnsi="Arial" w:cs="Arial"/>
          <w:bCs/>
          <w:sz w:val="24"/>
        </w:rPr>
        <w:t>中国专利文献英文翻译标准化数据与其对应的中文文本标准化数据中的相关文献信息应保持一致。</w:t>
      </w:r>
    </w:p>
    <w:p>
      <w:pPr>
        <w:keepNext/>
        <w:keepLines/>
        <w:spacing w:before="260" w:after="260" w:line="360" w:lineRule="auto"/>
        <w:outlineLvl w:val="2"/>
        <w:rPr>
          <w:rFonts w:ascii="Arial" w:hAnsi="Arial" w:cs="Arial"/>
          <w:b/>
          <w:bCs/>
          <w:kern w:val="0"/>
          <w:sz w:val="24"/>
        </w:rPr>
      </w:pPr>
      <w:r>
        <w:rPr>
          <w:rFonts w:ascii="Arial" w:hAnsi="Arial" w:cs="Arial"/>
          <w:b/>
          <w:bCs/>
          <w:kern w:val="0"/>
          <w:sz w:val="24"/>
        </w:rPr>
        <w:t>3.</w:t>
      </w:r>
      <w:r>
        <w:rPr>
          <w:rFonts w:hint="eastAsia" w:ascii="Arial" w:hAnsi="Arial" w:cs="Arial"/>
          <w:b/>
          <w:bCs/>
          <w:kern w:val="0"/>
          <w:sz w:val="24"/>
        </w:rPr>
        <w:t>5</w:t>
      </w:r>
      <w:r>
        <w:rPr>
          <w:rFonts w:ascii="Arial" w:hAnsi="Arial" w:cs="Arial"/>
          <w:b/>
          <w:bCs/>
          <w:kern w:val="0"/>
          <w:sz w:val="24"/>
        </w:rPr>
        <w:t>.5其他质量要求</w:t>
      </w:r>
    </w:p>
    <w:p>
      <w:pPr>
        <w:spacing w:line="360" w:lineRule="auto"/>
        <w:ind w:firstLine="480" w:firstLineChars="200"/>
        <w:rPr>
          <w:rFonts w:ascii="Arial" w:hAnsi="Arial" w:cs="Arial"/>
          <w:bCs/>
          <w:sz w:val="24"/>
        </w:rPr>
      </w:pPr>
      <w:r>
        <w:rPr>
          <w:rFonts w:ascii="Arial" w:hAnsi="Arial" w:cs="Arial"/>
          <w:bCs/>
          <w:sz w:val="24"/>
        </w:rPr>
        <w:t>投标人如发现原始数据内容描述含混，必要时应根据公开号或其他途径对全文进行检索查证以保证翻译的准确性。</w:t>
      </w:r>
    </w:p>
    <w:p>
      <w:pPr>
        <w:spacing w:line="360" w:lineRule="auto"/>
        <w:ind w:firstLine="480" w:firstLineChars="200"/>
        <w:rPr>
          <w:rFonts w:ascii="Arial" w:hAnsi="Arial" w:cs="Arial"/>
          <w:sz w:val="24"/>
        </w:rPr>
      </w:pPr>
      <w:r>
        <w:rPr>
          <w:rFonts w:ascii="Arial" w:hAnsi="Arial" w:cs="Arial"/>
          <w:bCs/>
          <w:sz w:val="24"/>
        </w:rPr>
        <w:t>投标人应对中国专利文献源数据进行校验，验证源数据的完整性、可用性和一致性。</w:t>
      </w:r>
      <w:r>
        <w:rPr>
          <w:rFonts w:ascii="Arial" w:hAnsi="Arial" w:cs="Arial"/>
          <w:sz w:val="24"/>
        </w:rPr>
        <w:t>投标人对于发现的源数据错误应作标记，并保证及时通知招标人。</w:t>
      </w:r>
    </w:p>
    <w:p>
      <w:pPr>
        <w:spacing w:line="360" w:lineRule="auto"/>
        <w:ind w:firstLine="480" w:firstLineChars="200"/>
        <w:rPr>
          <w:rFonts w:ascii="Arial" w:hAnsi="Arial" w:cs="Arial"/>
          <w:bCs/>
          <w:sz w:val="24"/>
        </w:rPr>
      </w:pPr>
      <w:r>
        <w:rPr>
          <w:rFonts w:ascii="Arial" w:hAnsi="Arial" w:cs="Arial"/>
          <w:bCs/>
          <w:sz w:val="24"/>
        </w:rPr>
        <w:t>如果发现本项目涉及的中国专利文献历史成品英文数据中存在的错误，投标人应按照招标人要求免费进行修改。</w:t>
      </w:r>
    </w:p>
    <w:p>
      <w:pPr>
        <w:keepNext/>
        <w:keepLines/>
        <w:spacing w:before="156" w:beforeLines="50" w:after="156" w:afterLines="50" w:line="360" w:lineRule="auto"/>
        <w:outlineLvl w:val="0"/>
        <w:rPr>
          <w:rFonts w:ascii="Arial" w:hAnsi="Arial" w:cs="Arial"/>
          <w:b/>
          <w:bCs/>
          <w:kern w:val="44"/>
          <w:sz w:val="24"/>
        </w:rPr>
      </w:pPr>
      <w:bookmarkStart w:id="6" w:name="_Toc114241666"/>
      <w:r>
        <w:rPr>
          <w:rFonts w:hint="eastAsia" w:ascii="Arial" w:hAnsi="Arial" w:cs="Arial"/>
          <w:b/>
          <w:bCs/>
          <w:kern w:val="44"/>
          <w:sz w:val="24"/>
        </w:rPr>
        <w:t>四、</w:t>
      </w:r>
      <w:r>
        <w:rPr>
          <w:rFonts w:ascii="Arial" w:hAnsi="Arial" w:cs="Arial"/>
          <w:b/>
          <w:bCs/>
          <w:kern w:val="44"/>
          <w:sz w:val="24"/>
        </w:rPr>
        <w:t>考核和验收</w:t>
      </w:r>
      <w:bookmarkEnd w:id="6"/>
    </w:p>
    <w:p>
      <w:pPr>
        <w:spacing w:before="260" w:after="260" w:line="360" w:lineRule="auto"/>
        <w:rPr>
          <w:rFonts w:ascii="Arial" w:hAnsi="Arial" w:cs="Arial"/>
          <w:b/>
          <w:bCs/>
          <w:kern w:val="0"/>
          <w:sz w:val="24"/>
        </w:rPr>
      </w:pPr>
      <w:bookmarkStart w:id="7" w:name="_Toc492536467"/>
      <w:bookmarkStart w:id="8" w:name="_Toc63699742"/>
      <w:bookmarkStart w:id="9" w:name="_Toc493249809"/>
      <w:bookmarkStart w:id="10" w:name="_Toc492557404"/>
      <w:bookmarkStart w:id="11" w:name="_Toc1682992476"/>
      <w:bookmarkStart w:id="12" w:name="_Toc560876469"/>
      <w:bookmarkStart w:id="13" w:name="_Toc1347611821"/>
      <w:r>
        <w:rPr>
          <w:rFonts w:ascii="Arial" w:hAnsi="Arial" w:cs="Arial"/>
          <w:b/>
          <w:bCs/>
          <w:kern w:val="0"/>
          <w:sz w:val="24"/>
        </w:rPr>
        <w:t>4.1 考核</w:t>
      </w:r>
      <w:bookmarkEnd w:id="7"/>
      <w:bookmarkEnd w:id="8"/>
      <w:bookmarkEnd w:id="9"/>
      <w:bookmarkEnd w:id="10"/>
      <w:r>
        <w:rPr>
          <w:rFonts w:ascii="Arial" w:hAnsi="Arial" w:cs="Arial"/>
          <w:b/>
          <w:bCs/>
          <w:kern w:val="0"/>
          <w:sz w:val="24"/>
        </w:rPr>
        <w:t>及违约责任</w:t>
      </w:r>
      <w:bookmarkEnd w:id="11"/>
      <w:bookmarkEnd w:id="12"/>
      <w:bookmarkEnd w:id="13"/>
    </w:p>
    <w:p>
      <w:pPr>
        <w:spacing w:line="360" w:lineRule="auto"/>
        <w:ind w:firstLine="480" w:firstLineChars="200"/>
        <w:rPr>
          <w:rFonts w:ascii="Arial" w:hAnsi="Arial" w:cs="Arial"/>
          <w:bCs/>
          <w:sz w:val="24"/>
        </w:rPr>
      </w:pPr>
      <w:r>
        <w:rPr>
          <w:rFonts w:ascii="Arial" w:hAnsi="Arial" w:cs="Arial"/>
          <w:bCs/>
          <w:sz w:val="24"/>
        </w:rPr>
        <w:t>招标人按照本项目需求按月对交付物进行加工时效考核和加工质量考核。</w:t>
      </w:r>
    </w:p>
    <w:p>
      <w:pPr>
        <w:spacing w:line="360" w:lineRule="auto"/>
        <w:ind w:firstLine="480" w:firstLineChars="200"/>
        <w:rPr>
          <w:rFonts w:ascii="Arial" w:hAnsi="Arial" w:cs="Arial"/>
          <w:bCs/>
          <w:sz w:val="24"/>
        </w:rPr>
      </w:pPr>
      <w:r>
        <w:rPr>
          <w:rFonts w:ascii="Arial" w:hAnsi="Arial" w:cs="Arial"/>
          <w:bCs/>
          <w:sz w:val="24"/>
        </w:rPr>
        <w:t>加工时效考核是指投标人应按照时限要求统筹负责完成当期工作，如逾期视为当月考核不合格。</w:t>
      </w:r>
    </w:p>
    <w:p>
      <w:pPr>
        <w:spacing w:line="360" w:lineRule="auto"/>
        <w:ind w:firstLine="480" w:firstLineChars="200"/>
        <w:rPr>
          <w:rFonts w:ascii="Arial" w:hAnsi="Arial" w:cs="Arial"/>
          <w:bCs/>
          <w:sz w:val="24"/>
        </w:rPr>
      </w:pPr>
      <w:r>
        <w:rPr>
          <w:rFonts w:ascii="Arial" w:hAnsi="Arial" w:cs="Arial"/>
          <w:bCs/>
          <w:sz w:val="24"/>
        </w:rPr>
        <w:t>加工质量考核是指交付物应达到质量要求；如果未达到质量要求，投标人应统筹负责于5个工作日内进行整改并提交招标人，如逾期或整改后的交付物仍不能达到质量要求，视为当月考核不合格，投标人仍须继续整改至合格为止。</w:t>
      </w:r>
    </w:p>
    <w:p>
      <w:pPr>
        <w:spacing w:line="360" w:lineRule="auto"/>
        <w:ind w:firstLine="480" w:firstLineChars="200"/>
        <w:rPr>
          <w:rFonts w:ascii="Arial" w:hAnsi="Arial" w:cs="Arial"/>
          <w:bCs/>
          <w:sz w:val="24"/>
        </w:rPr>
      </w:pPr>
      <w:r>
        <w:rPr>
          <w:rFonts w:ascii="Arial" w:hAnsi="Arial" w:cs="Arial"/>
          <w:bCs/>
          <w:sz w:val="24"/>
        </w:rPr>
        <w:t>如果双方中的一方不按照合同的约定履行其义务，对方有权无条件终止或解除本合同，并有权追究违约责任，由此产生的一切后果由违约方承担。</w:t>
      </w:r>
    </w:p>
    <w:p>
      <w:pPr>
        <w:spacing w:line="360" w:lineRule="auto"/>
        <w:ind w:firstLine="480" w:firstLineChars="200"/>
        <w:rPr>
          <w:rFonts w:ascii="Arial" w:hAnsi="Arial" w:cs="Arial"/>
          <w:bCs/>
          <w:sz w:val="24"/>
        </w:rPr>
      </w:pPr>
      <w:r>
        <w:rPr>
          <w:rFonts w:ascii="Arial" w:hAnsi="Arial" w:cs="Arial"/>
          <w:bCs/>
          <w:sz w:val="24"/>
        </w:rPr>
        <w:t>中标方未能按照约定向招标方提供数据及服务，视为违约。</w:t>
      </w:r>
    </w:p>
    <w:p>
      <w:pPr>
        <w:spacing w:before="260" w:after="260" w:line="360" w:lineRule="auto"/>
        <w:rPr>
          <w:rFonts w:ascii="Arial" w:hAnsi="Arial" w:cs="Arial"/>
          <w:b/>
          <w:bCs/>
          <w:kern w:val="0"/>
          <w:sz w:val="24"/>
        </w:rPr>
      </w:pPr>
      <w:bookmarkStart w:id="14" w:name="_Toc1157948299"/>
      <w:bookmarkStart w:id="15" w:name="_Toc493249810"/>
      <w:bookmarkStart w:id="16" w:name="_Toc492536468"/>
      <w:bookmarkStart w:id="17" w:name="_Toc1575738266"/>
      <w:bookmarkStart w:id="18" w:name="_Toc63699743"/>
      <w:bookmarkStart w:id="19" w:name="_Toc492557405"/>
      <w:bookmarkStart w:id="20" w:name="_Toc398470647"/>
      <w:r>
        <w:rPr>
          <w:rFonts w:ascii="Arial" w:hAnsi="Arial" w:cs="Arial"/>
          <w:b/>
          <w:bCs/>
          <w:kern w:val="0"/>
          <w:sz w:val="24"/>
        </w:rPr>
        <w:t>4.2 验收</w:t>
      </w:r>
      <w:bookmarkEnd w:id="14"/>
      <w:bookmarkEnd w:id="15"/>
      <w:bookmarkEnd w:id="16"/>
      <w:bookmarkEnd w:id="17"/>
      <w:bookmarkEnd w:id="18"/>
      <w:bookmarkEnd w:id="19"/>
      <w:bookmarkEnd w:id="20"/>
    </w:p>
    <w:p>
      <w:pPr>
        <w:spacing w:line="360" w:lineRule="auto"/>
        <w:ind w:firstLine="480" w:firstLineChars="200"/>
        <w:rPr>
          <w:rFonts w:ascii="Arial" w:hAnsi="Arial" w:cs="Arial"/>
          <w:bCs/>
          <w:sz w:val="24"/>
        </w:rPr>
      </w:pPr>
      <w:r>
        <w:rPr>
          <w:rFonts w:ascii="Arial" w:hAnsi="Arial" w:cs="Arial"/>
          <w:bCs/>
          <w:sz w:val="24"/>
        </w:rPr>
        <w:t>4.2.1 招标人按照本项目需求对交付物进行一次性整体验收。验收结果作为支付项目合同相关款项的依据。</w:t>
      </w:r>
    </w:p>
    <w:p>
      <w:pPr>
        <w:spacing w:line="360" w:lineRule="auto"/>
        <w:ind w:firstLine="480" w:firstLineChars="200"/>
        <w:rPr>
          <w:rFonts w:ascii="Arial" w:hAnsi="Arial" w:cs="Arial"/>
          <w:bCs/>
          <w:sz w:val="24"/>
        </w:rPr>
      </w:pPr>
      <w:r>
        <w:rPr>
          <w:rFonts w:ascii="Arial" w:hAnsi="Arial" w:cs="Arial"/>
          <w:bCs/>
          <w:sz w:val="24"/>
        </w:rPr>
        <w:t>4.2.2 投标人应统筹负责提供经投标人相关负责人签字并加盖公章的验收报告。验收报告应至少包括服务期内投标人统筹负责的详细工作总结、交付的成品数据的数量情况和质量情况、交付物清单以及投标人执行项目管理、知识产权、保密等方面要求的情况等内容。</w:t>
      </w:r>
    </w:p>
    <w:p>
      <w:pPr>
        <w:spacing w:line="360" w:lineRule="auto"/>
        <w:ind w:firstLine="480" w:firstLineChars="200"/>
        <w:rPr>
          <w:rFonts w:ascii="Arial" w:hAnsi="Arial" w:cs="Arial"/>
          <w:sz w:val="24"/>
        </w:rPr>
      </w:pPr>
      <w:r>
        <w:rPr>
          <w:rFonts w:ascii="Arial" w:hAnsi="Arial" w:cs="Arial"/>
          <w:bCs/>
          <w:sz w:val="24"/>
        </w:rPr>
        <w:t>4.2.3 如验收未通过，招标人有权暂不签署验收报告并不支付相关款项。投标人应统筹负责在5个工作日内按照验收意见进行弥补、改进或完善，待招标人重新组织验收并且验收合格后，招标人再向投标人支付相关款项。如果投标人在规定的验收日后的1个月内，经弥补、改进或完善后仍达不到验收标准的，招标人有权终止合同并拒绝支付相关款项。</w:t>
      </w:r>
    </w:p>
    <w:p>
      <w:pPr>
        <w:keepNext/>
        <w:keepLines/>
        <w:spacing w:before="156" w:beforeLines="50" w:after="156" w:afterLines="50" w:line="360" w:lineRule="auto"/>
        <w:outlineLvl w:val="0"/>
        <w:rPr>
          <w:rFonts w:ascii="Arial" w:hAnsi="Arial" w:cs="Arial"/>
          <w:b/>
          <w:bCs/>
          <w:kern w:val="44"/>
          <w:sz w:val="24"/>
        </w:rPr>
      </w:pPr>
      <w:bookmarkStart w:id="21" w:name="_Toc114241667"/>
      <w:r>
        <w:rPr>
          <w:rFonts w:hint="eastAsia" w:ascii="Arial" w:hAnsi="Arial" w:cs="Arial"/>
          <w:b/>
          <w:bCs/>
          <w:kern w:val="44"/>
          <w:sz w:val="24"/>
        </w:rPr>
        <w:t>五、</w:t>
      </w:r>
      <w:r>
        <w:rPr>
          <w:rFonts w:ascii="Arial" w:hAnsi="Arial" w:cs="Arial"/>
          <w:b/>
          <w:bCs/>
          <w:kern w:val="44"/>
          <w:sz w:val="24"/>
        </w:rPr>
        <w:t>知识产权要求</w:t>
      </w:r>
      <w:bookmarkEnd w:id="21"/>
    </w:p>
    <w:p>
      <w:pPr>
        <w:spacing w:line="360" w:lineRule="auto"/>
        <w:ind w:firstLine="480" w:firstLineChars="200"/>
        <w:rPr>
          <w:rFonts w:ascii="Arial" w:hAnsi="Arial" w:cs="Arial"/>
          <w:bCs/>
          <w:sz w:val="24"/>
        </w:rPr>
      </w:pPr>
      <w:r>
        <w:rPr>
          <w:rFonts w:hint="eastAsia" w:ascii="Arial" w:hAnsi="Arial" w:cs="Arial"/>
          <w:sz w:val="24"/>
        </w:rPr>
        <w:t xml:space="preserve">5.1 </w:t>
      </w:r>
      <w:r>
        <w:rPr>
          <w:rFonts w:ascii="Arial" w:hAnsi="Arial" w:cs="Arial"/>
          <w:sz w:val="24"/>
        </w:rPr>
        <w:t>本项目涉及的各类数据资源及全部工作成果（包括源数据、数据中间产品以及成品数据等）的知识产权属于招标人所有，未经招标人书面授权许可，投标人不得擅自出售或使用、不得许可第三人使用、不得与第三人共同使用。</w:t>
      </w:r>
    </w:p>
    <w:p>
      <w:pPr>
        <w:spacing w:line="360" w:lineRule="auto"/>
        <w:ind w:firstLine="480" w:firstLineChars="200"/>
        <w:rPr>
          <w:rFonts w:ascii="Arial" w:hAnsi="Arial" w:cs="Arial"/>
          <w:bCs/>
          <w:sz w:val="24"/>
        </w:rPr>
      </w:pPr>
      <w:r>
        <w:rPr>
          <w:rFonts w:hint="eastAsia" w:ascii="Arial" w:hAnsi="Arial" w:cs="Arial"/>
          <w:bCs/>
          <w:sz w:val="24"/>
        </w:rPr>
        <w:t xml:space="preserve">5.2 </w:t>
      </w:r>
      <w:r>
        <w:rPr>
          <w:rFonts w:ascii="Arial" w:hAnsi="Arial" w:cs="Arial"/>
          <w:bCs/>
          <w:sz w:val="24"/>
        </w:rPr>
        <w:t>投标人保证其所提供的全部工作成果均没有侵犯任何第三方的知识产权及其它权益。如招标人因采用投标人的工作成果而引起第三方提起有关侵权之指控、争议或索赔，则投标人应在此等事件发生后的合理时间内以自己的费用解决，保护招标人的利益不受损害，并承担因此给招标人造成的全部损失和费用（包括但不限于法院诉讼的费用、合理的律师酬金和费用、损害赔偿费用、罚款以及其它所有的损失或损害等等）。同时，投标人应自行承担费用采取补救措施，使所提供的工作成果不侵犯他人权利并符合本项目。</w:t>
      </w:r>
    </w:p>
    <w:p>
      <w:pPr>
        <w:keepNext/>
        <w:keepLines/>
        <w:spacing w:before="156" w:beforeLines="50" w:after="156" w:afterLines="50" w:line="360" w:lineRule="auto"/>
        <w:outlineLvl w:val="0"/>
        <w:rPr>
          <w:rFonts w:ascii="Arial" w:hAnsi="Arial" w:cs="Arial"/>
          <w:b/>
          <w:bCs/>
          <w:kern w:val="44"/>
          <w:sz w:val="24"/>
        </w:rPr>
      </w:pPr>
      <w:bookmarkStart w:id="22" w:name="_Toc114241668"/>
      <w:r>
        <w:rPr>
          <w:rFonts w:hint="eastAsia" w:ascii="Arial" w:hAnsi="Arial" w:cs="Arial"/>
          <w:b/>
          <w:bCs/>
          <w:kern w:val="44"/>
          <w:sz w:val="24"/>
        </w:rPr>
        <w:t>六、</w:t>
      </w:r>
      <w:r>
        <w:rPr>
          <w:rFonts w:ascii="Arial" w:hAnsi="Arial" w:cs="Arial"/>
          <w:b/>
          <w:bCs/>
          <w:kern w:val="44"/>
          <w:sz w:val="24"/>
        </w:rPr>
        <w:t>保密</w:t>
      </w:r>
      <w:bookmarkEnd w:id="22"/>
    </w:p>
    <w:p>
      <w:pPr>
        <w:spacing w:line="360" w:lineRule="auto"/>
        <w:ind w:firstLine="480" w:firstLineChars="200"/>
        <w:rPr>
          <w:rFonts w:ascii="Arial" w:hAnsi="Arial" w:cs="Arial"/>
          <w:bCs/>
          <w:sz w:val="24"/>
        </w:rPr>
      </w:pPr>
      <w:r>
        <w:rPr>
          <w:rFonts w:hint="eastAsia" w:ascii="Arial" w:hAnsi="Arial" w:cs="Arial"/>
          <w:bCs/>
          <w:sz w:val="24"/>
        </w:rPr>
        <w:t xml:space="preserve">6.1 </w:t>
      </w:r>
      <w:r>
        <w:rPr>
          <w:rFonts w:ascii="Arial" w:hAnsi="Arial" w:cs="Arial"/>
          <w:bCs/>
          <w:sz w:val="24"/>
        </w:rPr>
        <w:t>投标人在中标之后将与招标人签署保密协议，投标人在为招标人提供服务的过程中获得的有关招标人的任何属于保密协议范围内的信息、数据、资料（不论是招标人提供或披露的还是投标人偶然获得的）以及因本项目履行所取得的任何工作成果，均为保密信息。</w:t>
      </w:r>
    </w:p>
    <w:p>
      <w:pPr>
        <w:spacing w:line="360" w:lineRule="auto"/>
        <w:ind w:firstLine="480" w:firstLineChars="200"/>
        <w:rPr>
          <w:rFonts w:ascii="Arial" w:hAnsi="Arial" w:cs="Arial"/>
          <w:bCs/>
          <w:sz w:val="24"/>
        </w:rPr>
      </w:pPr>
      <w:r>
        <w:rPr>
          <w:rFonts w:hint="eastAsia" w:ascii="Arial" w:hAnsi="Arial" w:cs="Arial"/>
          <w:bCs/>
          <w:sz w:val="24"/>
        </w:rPr>
        <w:t xml:space="preserve">6.2 </w:t>
      </w:r>
      <w:r>
        <w:rPr>
          <w:rFonts w:ascii="Arial" w:hAnsi="Arial" w:cs="Arial"/>
          <w:bCs/>
          <w:sz w:val="24"/>
        </w:rPr>
        <w:t>投标人不得将该等信息自行使用或披露给任何第三方，包括但不限于在著作、会议、教学、媒体、论文等任何公开场合部分或全部引用、发表因履行本项目所获得有关招标人的任何案例、资料、以及因本项目履行所产生的任何工作成果。</w:t>
      </w:r>
    </w:p>
    <w:p>
      <w:pPr>
        <w:spacing w:line="360" w:lineRule="auto"/>
        <w:ind w:firstLine="480" w:firstLineChars="200"/>
        <w:rPr>
          <w:rFonts w:ascii="Arial" w:hAnsi="Arial" w:cs="Arial"/>
          <w:bCs/>
          <w:sz w:val="24"/>
        </w:rPr>
      </w:pPr>
      <w:r>
        <w:rPr>
          <w:rFonts w:hint="eastAsia" w:ascii="Arial" w:hAnsi="Arial" w:cs="Arial"/>
          <w:bCs/>
          <w:sz w:val="24"/>
        </w:rPr>
        <w:t xml:space="preserve">6.3 </w:t>
      </w:r>
      <w:r>
        <w:rPr>
          <w:rFonts w:ascii="Arial" w:hAnsi="Arial" w:cs="Arial"/>
          <w:bCs/>
          <w:sz w:val="24"/>
        </w:rPr>
        <w:t>投标人保证不向本项目项下提供服务的人员之外的其他人员披露本项目项下的保密信息。投标人应告知并采取必要的有效措施保证参与本项目项下服务项目之投标人人员履行本项目项下的保密义务。若投标人人员违反本项目项下的保密义务，投标人应承担连带责任。</w:t>
      </w:r>
    </w:p>
    <w:p>
      <w:pPr>
        <w:spacing w:line="360" w:lineRule="auto"/>
        <w:ind w:firstLine="480" w:firstLineChars="200"/>
        <w:rPr>
          <w:rFonts w:ascii="Arial" w:hAnsi="Arial" w:cs="Arial"/>
          <w:bCs/>
          <w:sz w:val="24"/>
        </w:rPr>
      </w:pPr>
      <w:r>
        <w:rPr>
          <w:rFonts w:hint="eastAsia" w:ascii="Arial" w:hAnsi="Arial" w:cs="Arial"/>
          <w:bCs/>
          <w:sz w:val="24"/>
        </w:rPr>
        <w:t xml:space="preserve">6.4 </w:t>
      </w:r>
      <w:r>
        <w:rPr>
          <w:rFonts w:ascii="Arial" w:hAnsi="Arial" w:cs="Arial"/>
          <w:bCs/>
          <w:sz w:val="24"/>
        </w:rPr>
        <w:t>投标人保证在项目验收后招标人在项目实施过程中提供的相关信息和资料全部返还给招标人，</w:t>
      </w:r>
      <w:r>
        <w:rPr>
          <w:rFonts w:hint="eastAsia" w:ascii="Arial" w:hAnsi="Arial" w:cs="Arial"/>
          <w:bCs/>
          <w:sz w:val="24"/>
        </w:rPr>
        <w:t>未经招标人同</w:t>
      </w:r>
      <w:r>
        <w:rPr>
          <w:rFonts w:ascii="Arial" w:hAnsi="Arial" w:cs="Arial"/>
          <w:bCs/>
          <w:sz w:val="24"/>
        </w:rPr>
        <w:t>意不得擅自留存。</w:t>
      </w:r>
    </w:p>
    <w:p>
      <w:pPr>
        <w:keepNext/>
        <w:keepLines/>
        <w:spacing w:before="156" w:beforeLines="50" w:after="156" w:afterLines="50" w:line="360" w:lineRule="auto"/>
        <w:outlineLvl w:val="0"/>
        <w:rPr>
          <w:rFonts w:ascii="Arial" w:hAnsi="Arial" w:cs="Arial"/>
          <w:b/>
          <w:bCs/>
          <w:kern w:val="44"/>
          <w:sz w:val="24"/>
        </w:rPr>
      </w:pPr>
      <w:bookmarkStart w:id="23" w:name="_Toc114241669"/>
      <w:r>
        <w:rPr>
          <w:rFonts w:hint="eastAsia" w:ascii="Arial" w:hAnsi="Arial" w:cs="Arial"/>
          <w:b/>
          <w:bCs/>
          <w:kern w:val="44"/>
          <w:sz w:val="24"/>
        </w:rPr>
        <w:t>七、</w:t>
      </w:r>
      <w:r>
        <w:rPr>
          <w:rFonts w:ascii="Arial" w:hAnsi="Arial" w:cs="Arial"/>
          <w:b/>
          <w:bCs/>
          <w:kern w:val="44"/>
          <w:sz w:val="24"/>
        </w:rPr>
        <w:t>其他要求</w:t>
      </w:r>
      <w:bookmarkEnd w:id="23"/>
    </w:p>
    <w:p>
      <w:pPr>
        <w:spacing w:line="360" w:lineRule="auto"/>
        <w:ind w:firstLine="480" w:firstLineChars="200"/>
        <w:rPr>
          <w:rFonts w:ascii="Arial" w:hAnsi="Arial" w:cs="Arial"/>
          <w:sz w:val="24"/>
        </w:rPr>
      </w:pPr>
      <w:r>
        <w:rPr>
          <w:rFonts w:hint="eastAsia" w:ascii="Arial" w:hAnsi="Arial" w:cs="Arial"/>
          <w:sz w:val="24"/>
        </w:rPr>
        <w:t>7.1</w:t>
      </w:r>
      <w:r>
        <w:rPr>
          <w:rFonts w:ascii="Arial" w:hAnsi="Arial" w:cs="Arial"/>
          <w:sz w:val="24"/>
        </w:rPr>
        <w:t>本项目不接受联合体投标。</w:t>
      </w:r>
    </w:p>
    <w:p>
      <w:pPr>
        <w:spacing w:line="360" w:lineRule="auto"/>
        <w:ind w:firstLine="480" w:firstLineChars="200"/>
        <w:rPr>
          <w:rFonts w:ascii="Arial" w:hAnsi="Arial" w:cs="Arial"/>
          <w:sz w:val="24"/>
        </w:rPr>
      </w:pPr>
      <w:commentRangeStart w:id="0"/>
      <w:r>
        <w:rPr>
          <w:rFonts w:hint="eastAsia" w:ascii="Arial" w:hAnsi="Arial" w:cs="Arial"/>
          <w:sz w:val="24"/>
          <w:highlight w:val="yellow"/>
        </w:rPr>
        <w:t>7.2</w:t>
      </w:r>
      <w:commentRangeEnd w:id="0"/>
      <w:r>
        <w:commentReference w:id="0"/>
      </w:r>
    </w:p>
    <w:p>
      <w:pPr>
        <w:spacing w:line="360" w:lineRule="auto"/>
        <w:ind w:firstLine="480" w:firstLineChars="200"/>
        <w:rPr>
          <w:rFonts w:ascii="Arial" w:hAnsi="Arial" w:cs="Arial"/>
          <w:sz w:val="24"/>
        </w:rPr>
      </w:pPr>
      <w:r>
        <w:rPr>
          <w:rFonts w:ascii="Arial" w:hAnsi="Arial" w:cs="Arial"/>
          <w:sz w:val="24"/>
        </w:rPr>
        <w:t>为承担本项目的数据加工工作，投标人应采取全方位的质量保障措施，包括建立完善的、适宜的质量管理体系，具有完善的项目业务和管理制度，加强与用户的沟通和交流，按要求接受项目质量保障评价。</w:t>
      </w:r>
    </w:p>
    <w:p>
      <w:pPr>
        <w:spacing w:line="360" w:lineRule="auto"/>
        <w:ind w:firstLine="480" w:firstLineChars="200"/>
        <w:rPr>
          <w:rFonts w:ascii="Arial" w:hAnsi="Arial" w:cs="Arial"/>
          <w:sz w:val="24"/>
        </w:rPr>
      </w:pPr>
      <w:r>
        <w:rPr>
          <w:rFonts w:hint="eastAsia" w:ascii="Arial" w:hAnsi="Arial" w:cs="Arial"/>
          <w:sz w:val="24"/>
        </w:rPr>
        <w:t xml:space="preserve">7.3 </w:t>
      </w:r>
      <w:r>
        <w:rPr>
          <w:rFonts w:ascii="Arial" w:hAnsi="Arial" w:cs="Arial"/>
          <w:sz w:val="24"/>
        </w:rPr>
        <w:t>投标人服务能力</w:t>
      </w:r>
    </w:p>
    <w:p>
      <w:pPr>
        <w:spacing w:line="360" w:lineRule="auto"/>
        <w:ind w:firstLine="480" w:firstLineChars="200"/>
        <w:rPr>
          <w:rFonts w:ascii="Arial" w:hAnsi="Arial" w:cs="Arial"/>
          <w:sz w:val="24"/>
        </w:rPr>
      </w:pPr>
      <w:r>
        <w:rPr>
          <w:rFonts w:hint="eastAsia" w:ascii="Arial" w:hAnsi="Arial" w:cs="Arial"/>
          <w:sz w:val="24"/>
        </w:rPr>
        <w:t xml:space="preserve">7.3.1 </w:t>
      </w:r>
      <w:r>
        <w:rPr>
          <w:rFonts w:ascii="Arial" w:hAnsi="Arial" w:cs="Arial"/>
          <w:sz w:val="24"/>
          <w:highlight w:val="yellow"/>
        </w:rPr>
        <w:t>投标人自2019年1月1日至今承担</w:t>
      </w:r>
      <w:commentRangeStart w:id="1"/>
      <w:r>
        <w:rPr>
          <w:rFonts w:ascii="Arial" w:hAnsi="Arial" w:cs="Arial"/>
          <w:sz w:val="24"/>
          <w:highlight w:val="yellow"/>
        </w:rPr>
        <w:t>过</w:t>
      </w:r>
      <w:r>
        <w:rPr>
          <w:rFonts w:hint="eastAsia" w:ascii="Arial" w:hAnsi="Arial" w:cs="Arial"/>
          <w:sz w:val="24"/>
          <w:highlight w:val="yellow"/>
        </w:rPr>
        <w:t>类似</w:t>
      </w:r>
      <w:r>
        <w:rPr>
          <w:rFonts w:ascii="Arial" w:hAnsi="Arial" w:cs="Arial"/>
          <w:sz w:val="24"/>
          <w:highlight w:val="yellow"/>
        </w:rPr>
        <w:t>翻译项</w:t>
      </w:r>
      <w:commentRangeEnd w:id="1"/>
      <w:r>
        <w:commentReference w:id="1"/>
      </w:r>
      <w:r>
        <w:rPr>
          <w:rFonts w:ascii="Arial" w:hAnsi="Arial" w:cs="Arial"/>
          <w:sz w:val="24"/>
          <w:highlight w:val="yellow"/>
        </w:rPr>
        <w:t>目。</w:t>
      </w:r>
    </w:p>
    <w:p>
      <w:pPr>
        <w:spacing w:line="360" w:lineRule="auto"/>
        <w:ind w:firstLine="480" w:firstLineChars="200"/>
        <w:rPr>
          <w:rFonts w:ascii="Arial" w:hAnsi="Arial" w:cs="Arial"/>
          <w:sz w:val="24"/>
        </w:rPr>
      </w:pPr>
      <w:r>
        <w:rPr>
          <w:rFonts w:hint="eastAsia" w:ascii="Arial" w:hAnsi="Arial" w:cs="Arial"/>
          <w:sz w:val="24"/>
        </w:rPr>
        <w:t xml:space="preserve">7.3.2 </w:t>
      </w:r>
      <w:r>
        <w:rPr>
          <w:rFonts w:ascii="Arial" w:hAnsi="Arial" w:cs="Arial"/>
          <w:sz w:val="24"/>
        </w:rPr>
        <w:t>信息化系统</w:t>
      </w:r>
    </w:p>
    <w:p>
      <w:pPr>
        <w:spacing w:line="360" w:lineRule="auto"/>
        <w:ind w:firstLine="480" w:firstLineChars="200"/>
        <w:rPr>
          <w:rFonts w:ascii="Arial" w:hAnsi="Arial" w:cs="Arial"/>
          <w:sz w:val="24"/>
        </w:rPr>
      </w:pPr>
      <w:r>
        <w:rPr>
          <w:rFonts w:ascii="Arial" w:hAnsi="Arial" w:cs="Arial"/>
          <w:sz w:val="24"/>
        </w:rPr>
        <w:t>投标人拥有符合本项目需求的信息化技术能力和工具，应拥有专业的翻译、词库、质检、数据标准化相关的信息化系统及包含中-英、</w:t>
      </w:r>
      <w:r>
        <w:rPr>
          <w:rFonts w:hint="eastAsia" w:ascii="Arial" w:hAnsi="Arial" w:cs="Arial"/>
          <w:sz w:val="24"/>
        </w:rPr>
        <w:t>日</w:t>
      </w:r>
      <w:r>
        <w:rPr>
          <w:rFonts w:ascii="Arial" w:hAnsi="Arial" w:cs="Arial"/>
          <w:sz w:val="24"/>
        </w:rPr>
        <w:t>-中的翻译信息化系统，不断提高机器翻译</w:t>
      </w:r>
      <w:r>
        <w:rPr>
          <w:rFonts w:hint="eastAsia" w:ascii="Arial" w:hAnsi="Arial" w:cs="Arial"/>
          <w:sz w:val="24"/>
        </w:rPr>
        <w:t>和</w:t>
      </w:r>
      <w:r>
        <w:rPr>
          <w:rFonts w:ascii="Arial" w:hAnsi="Arial" w:cs="Arial"/>
          <w:sz w:val="24"/>
        </w:rPr>
        <w:t>标准化数据加工的质量和效率。</w:t>
      </w:r>
    </w:p>
    <w:p>
      <w:pPr>
        <w:spacing w:line="360" w:lineRule="auto"/>
        <w:ind w:firstLine="480" w:firstLineChars="200"/>
        <w:rPr>
          <w:rFonts w:ascii="Arial" w:hAnsi="Arial" w:cs="Arial"/>
          <w:sz w:val="24"/>
        </w:rPr>
      </w:pPr>
      <w:r>
        <w:rPr>
          <w:rFonts w:hint="eastAsia" w:ascii="Arial" w:hAnsi="Arial" w:cs="Arial"/>
          <w:sz w:val="24"/>
        </w:rPr>
        <w:t xml:space="preserve">7.3.3 </w:t>
      </w:r>
      <w:r>
        <w:rPr>
          <w:rFonts w:ascii="Arial" w:hAnsi="Arial" w:cs="Arial"/>
          <w:sz w:val="24"/>
        </w:rPr>
        <w:t>翻译</w:t>
      </w:r>
      <w:r>
        <w:rPr>
          <w:rFonts w:hint="eastAsia" w:ascii="Arial" w:hAnsi="Arial" w:cs="Arial"/>
          <w:sz w:val="24"/>
        </w:rPr>
        <w:t>语料</w:t>
      </w:r>
    </w:p>
    <w:p>
      <w:pPr>
        <w:spacing w:line="360" w:lineRule="auto"/>
        <w:ind w:firstLine="480" w:firstLineChars="200"/>
        <w:rPr>
          <w:rFonts w:ascii="Arial" w:hAnsi="Arial" w:cs="Arial"/>
          <w:sz w:val="24"/>
        </w:rPr>
      </w:pPr>
      <w:r>
        <w:rPr>
          <w:rFonts w:ascii="Arial" w:hAnsi="Arial" w:cs="Arial"/>
          <w:sz w:val="24"/>
        </w:rPr>
        <w:t>投标人拥有用于翻译语料资源，包括双语平行语料以及术语、申请人、发明人、专利固有表达、翻译记忆等翻译语料，保证翻译数据中的术语翻译准确，同一领域技术术语翻译一致，以及使用专利英文固有表达方式。</w:t>
      </w:r>
    </w:p>
    <w:p>
      <w:pPr>
        <w:spacing w:line="360" w:lineRule="auto"/>
        <w:ind w:firstLine="480" w:firstLineChars="200"/>
        <w:rPr>
          <w:rFonts w:ascii="Arial" w:hAnsi="Arial" w:cs="Arial"/>
          <w:sz w:val="24"/>
        </w:rPr>
      </w:pPr>
      <w:r>
        <w:rPr>
          <w:rFonts w:hint="eastAsia" w:ascii="Arial" w:hAnsi="Arial" w:cs="Arial"/>
          <w:sz w:val="24"/>
        </w:rPr>
        <w:t xml:space="preserve">7.3.4 </w:t>
      </w:r>
      <w:r>
        <w:rPr>
          <w:rFonts w:ascii="Arial" w:hAnsi="Arial" w:cs="Arial"/>
          <w:sz w:val="24"/>
        </w:rPr>
        <w:t>数据管理及信息安全保障</w:t>
      </w:r>
    </w:p>
    <w:p>
      <w:pPr>
        <w:spacing w:line="360" w:lineRule="auto"/>
        <w:ind w:firstLine="480" w:firstLineChars="200"/>
        <w:rPr>
          <w:rFonts w:ascii="Arial" w:hAnsi="Arial" w:cs="Arial"/>
          <w:sz w:val="24"/>
        </w:rPr>
      </w:pPr>
      <w:r>
        <w:rPr>
          <w:rFonts w:ascii="Arial" w:hAnsi="Arial" w:cs="Arial"/>
          <w:sz w:val="24"/>
        </w:rPr>
        <w:t>投标人具备数据收集、数据处理、数据分配和回收、数据整合、任务监控、数据统计查询、数据审定发布以及数据存储的技术能力，具有完备的数据管理和信息安全保障制度，定期开展信息安全检查和信息安全领域风险分析，及时解决相关问题，确保数据信息的</w:t>
      </w:r>
      <w:r>
        <w:fldChar w:fldCharType="begin"/>
      </w:r>
      <w:r>
        <w:instrText xml:space="preserve"> HYPERLINK "http://baike.baidu.com/item/%E4%BF%9D%E5%AF%86%E6%80%A7" \t "_blank" </w:instrText>
      </w:r>
      <w:r>
        <w:fldChar w:fldCharType="separate"/>
      </w:r>
      <w:r>
        <w:rPr>
          <w:rFonts w:ascii="Arial" w:hAnsi="Arial" w:cs="Arial"/>
          <w:sz w:val="24"/>
        </w:rPr>
        <w:t>保密性</w:t>
      </w:r>
      <w:r>
        <w:rPr>
          <w:rFonts w:ascii="Arial" w:hAnsi="Arial" w:cs="Arial"/>
          <w:sz w:val="24"/>
        </w:rPr>
        <w:fldChar w:fldCharType="end"/>
      </w:r>
      <w:r>
        <w:rPr>
          <w:rFonts w:ascii="Arial" w:hAnsi="Arial" w:cs="Arial"/>
          <w:sz w:val="24"/>
        </w:rPr>
        <w:t>、</w:t>
      </w:r>
      <w:r>
        <w:fldChar w:fldCharType="begin"/>
      </w:r>
      <w:r>
        <w:instrText xml:space="preserve"> HYPERLINK "http://baike.baidu.com/item/%E5%AE%8C%E6%95%B4%E6%80%A7" \t "_blank" </w:instrText>
      </w:r>
      <w:r>
        <w:fldChar w:fldCharType="separate"/>
      </w:r>
      <w:r>
        <w:rPr>
          <w:rFonts w:ascii="Arial" w:hAnsi="Arial" w:cs="Arial"/>
          <w:sz w:val="24"/>
        </w:rPr>
        <w:t>完整性</w:t>
      </w:r>
      <w:r>
        <w:rPr>
          <w:rFonts w:ascii="Arial" w:hAnsi="Arial" w:cs="Arial"/>
          <w:sz w:val="24"/>
        </w:rPr>
        <w:fldChar w:fldCharType="end"/>
      </w:r>
      <w:r>
        <w:rPr>
          <w:rFonts w:ascii="Arial" w:hAnsi="Arial" w:cs="Arial"/>
          <w:sz w:val="24"/>
        </w:rPr>
        <w:t>和</w:t>
      </w:r>
      <w:r>
        <w:fldChar w:fldCharType="begin"/>
      </w:r>
      <w:r>
        <w:instrText xml:space="preserve"> HYPERLINK "http://baike.baidu.com/item/%E5%8F%AF%E7%94%A8%E6%80%A7" \t "_blank" </w:instrText>
      </w:r>
      <w:r>
        <w:fldChar w:fldCharType="separate"/>
      </w:r>
      <w:r>
        <w:rPr>
          <w:rFonts w:ascii="Arial" w:hAnsi="Arial" w:cs="Arial"/>
          <w:sz w:val="24"/>
        </w:rPr>
        <w:t>可用性</w:t>
      </w:r>
      <w:r>
        <w:rPr>
          <w:rFonts w:ascii="Arial" w:hAnsi="Arial" w:cs="Arial"/>
          <w:sz w:val="24"/>
        </w:rPr>
        <w:fldChar w:fldCharType="end"/>
      </w:r>
      <w:r>
        <w:rPr>
          <w:rFonts w:ascii="Arial" w:hAnsi="Arial" w:cs="Arial"/>
          <w:sz w:val="24"/>
        </w:rPr>
        <w:t>。</w:t>
      </w:r>
    </w:p>
    <w:p>
      <w:pPr>
        <w:spacing w:line="360" w:lineRule="auto"/>
        <w:ind w:firstLine="480" w:firstLineChars="200"/>
        <w:rPr>
          <w:rFonts w:ascii="Arial" w:hAnsi="Arial" w:cs="Arial"/>
          <w:sz w:val="24"/>
        </w:rPr>
      </w:pPr>
      <w:r>
        <w:rPr>
          <w:rFonts w:hint="eastAsia" w:ascii="Arial" w:hAnsi="Arial" w:cs="Arial"/>
          <w:sz w:val="24"/>
        </w:rPr>
        <w:t xml:space="preserve">7.4 </w:t>
      </w:r>
      <w:r>
        <w:rPr>
          <w:rFonts w:ascii="Arial" w:hAnsi="Arial" w:cs="Arial"/>
          <w:sz w:val="24"/>
        </w:rPr>
        <w:t>人员能力</w:t>
      </w:r>
    </w:p>
    <w:p>
      <w:pPr>
        <w:spacing w:line="360" w:lineRule="auto"/>
        <w:ind w:firstLine="480" w:firstLineChars="200"/>
        <w:rPr>
          <w:rFonts w:ascii="Arial" w:hAnsi="Arial" w:cs="Arial"/>
          <w:bCs/>
          <w:sz w:val="24"/>
        </w:rPr>
      </w:pPr>
      <w:r>
        <w:rPr>
          <w:rFonts w:ascii="Arial" w:hAnsi="Arial" w:cs="Arial"/>
          <w:bCs/>
          <w:sz w:val="24"/>
        </w:rPr>
        <w:t>建议投标人组建具备以下要求的团队</w:t>
      </w:r>
      <w:r>
        <w:rPr>
          <w:rFonts w:hint="eastAsia" w:ascii="Arial" w:hAnsi="Arial" w:cs="Arial"/>
          <w:bCs/>
          <w:sz w:val="24"/>
        </w:rPr>
        <w:t>。</w:t>
      </w:r>
    </w:p>
    <w:p>
      <w:pPr>
        <w:spacing w:line="360" w:lineRule="auto"/>
        <w:ind w:firstLine="480" w:firstLineChars="200"/>
        <w:rPr>
          <w:rFonts w:ascii="Arial" w:hAnsi="Arial" w:cs="Arial"/>
          <w:sz w:val="24"/>
        </w:rPr>
      </w:pPr>
      <w:r>
        <w:rPr>
          <w:rFonts w:hint="eastAsia" w:ascii="Arial" w:hAnsi="Arial" w:cs="Arial"/>
          <w:sz w:val="24"/>
        </w:rPr>
        <w:t xml:space="preserve">7.4.1 </w:t>
      </w:r>
      <w:r>
        <w:rPr>
          <w:rFonts w:ascii="Arial" w:hAnsi="Arial" w:cs="Arial"/>
          <w:sz w:val="24"/>
        </w:rPr>
        <w:t>配备一名项目负责人</w:t>
      </w:r>
    </w:p>
    <w:p>
      <w:pPr>
        <w:spacing w:line="360" w:lineRule="auto"/>
        <w:ind w:firstLine="480" w:firstLineChars="200"/>
        <w:rPr>
          <w:rFonts w:ascii="Arial" w:hAnsi="Arial" w:cs="Arial"/>
          <w:sz w:val="24"/>
        </w:rPr>
      </w:pPr>
      <w:r>
        <w:rPr>
          <w:rFonts w:ascii="Arial" w:hAnsi="Arial" w:cs="Arial"/>
          <w:sz w:val="24"/>
        </w:rPr>
        <w:t>从事</w:t>
      </w:r>
      <w:r>
        <w:rPr>
          <w:rFonts w:hint="eastAsia" w:ascii="Arial" w:hAnsi="Arial" w:cs="Arial"/>
          <w:sz w:val="24"/>
        </w:rPr>
        <w:t>翻译</w:t>
      </w:r>
      <w:r>
        <w:rPr>
          <w:rFonts w:ascii="Arial" w:hAnsi="Arial" w:cs="Arial"/>
          <w:sz w:val="24"/>
        </w:rPr>
        <w:t>工作1</w:t>
      </w:r>
      <w:r>
        <w:rPr>
          <w:rFonts w:hint="eastAsia" w:ascii="Arial" w:hAnsi="Arial" w:cs="Arial"/>
          <w:sz w:val="24"/>
          <w:lang w:val="en-US" w:eastAsia="zh-CN"/>
        </w:rPr>
        <w:t>5</w:t>
      </w:r>
      <w:r>
        <w:rPr>
          <w:rFonts w:ascii="Arial" w:hAnsi="Arial" w:cs="Arial"/>
          <w:sz w:val="24"/>
        </w:rPr>
        <w:t>年及以上；具有高级专业技术任职资格</w:t>
      </w:r>
      <w:r>
        <w:rPr>
          <w:rFonts w:hint="eastAsia" w:ascii="Arial" w:hAnsi="Arial" w:cs="Arial"/>
          <w:sz w:val="24"/>
        </w:rPr>
        <w:t>。</w:t>
      </w:r>
    </w:p>
    <w:p>
      <w:pPr>
        <w:spacing w:line="360" w:lineRule="auto"/>
        <w:ind w:firstLine="480" w:firstLineChars="200"/>
        <w:rPr>
          <w:rFonts w:ascii="Arial" w:hAnsi="Arial" w:cs="Arial"/>
          <w:sz w:val="24"/>
        </w:rPr>
      </w:pPr>
      <w:r>
        <w:rPr>
          <w:rFonts w:ascii="Arial" w:hAnsi="Arial" w:cs="Arial"/>
          <w:sz w:val="24"/>
        </w:rPr>
        <w:t xml:space="preserve">7.4.2 </w:t>
      </w:r>
      <w:r>
        <w:rPr>
          <w:rFonts w:hint="eastAsia" w:ascii="Arial" w:hAnsi="Arial" w:cs="Arial"/>
          <w:sz w:val="24"/>
        </w:rPr>
        <w:t>配备全职的项目团队</w:t>
      </w:r>
    </w:p>
    <w:p>
      <w:pPr>
        <w:spacing w:line="360" w:lineRule="auto"/>
        <w:ind w:firstLine="480" w:firstLineChars="200"/>
        <w:rPr>
          <w:rFonts w:ascii="Arial" w:hAnsi="Arial" w:cs="Arial"/>
          <w:sz w:val="24"/>
        </w:rPr>
      </w:pPr>
      <w:r>
        <w:rPr>
          <w:rFonts w:hint="eastAsia" w:ascii="Arial" w:hAnsi="Arial" w:cs="Arial"/>
          <w:sz w:val="24"/>
        </w:rPr>
        <w:t>项目团队应</w:t>
      </w:r>
      <w:r>
        <w:rPr>
          <w:rFonts w:ascii="Arial" w:hAnsi="Arial" w:cs="Arial"/>
          <w:sz w:val="24"/>
        </w:rPr>
        <w:t>具有本科以上学历，且涵盖的学科专业至少包括以下相关类别：化学/化工、通信/电子信息、机械、医学</w:t>
      </w:r>
      <w:r>
        <w:rPr>
          <w:rFonts w:hint="eastAsia" w:ascii="Arial" w:hAnsi="Arial" w:cs="Arial"/>
          <w:sz w:val="24"/>
        </w:rPr>
        <w:t>/</w:t>
      </w:r>
      <w:r>
        <w:rPr>
          <w:rFonts w:ascii="Arial" w:hAnsi="Arial" w:cs="Arial"/>
          <w:sz w:val="24"/>
        </w:rPr>
        <w:t>生物</w:t>
      </w:r>
      <w:r>
        <w:rPr>
          <w:rFonts w:hint="eastAsia" w:ascii="Arial" w:hAnsi="Arial" w:cs="Arial"/>
          <w:sz w:val="24"/>
        </w:rPr>
        <w:t>。</w:t>
      </w:r>
    </w:p>
    <w:p>
      <w:pPr>
        <w:spacing w:line="360" w:lineRule="auto"/>
        <w:ind w:firstLine="480" w:firstLineChars="200"/>
        <w:rPr>
          <w:rFonts w:ascii="Arial" w:hAnsi="Arial" w:cs="Arial"/>
          <w:sz w:val="24"/>
        </w:rPr>
      </w:pPr>
      <w:r>
        <w:rPr>
          <w:rFonts w:hint="eastAsia" w:ascii="Arial" w:hAnsi="Arial" w:cs="Arial"/>
          <w:sz w:val="24"/>
        </w:rPr>
        <w:t>项目团队应</w:t>
      </w:r>
      <w:r>
        <w:rPr>
          <w:rFonts w:ascii="Arial" w:hAnsi="Arial" w:cs="Arial"/>
          <w:sz w:val="24"/>
        </w:rPr>
        <w:t>具有翻译、语言方面资质认证：英语的专业八级证书，</w:t>
      </w:r>
      <w:r>
        <w:rPr>
          <w:rFonts w:hint="eastAsia" w:ascii="Arial" w:hAnsi="Arial" w:cs="Arial"/>
          <w:sz w:val="24"/>
        </w:rPr>
        <w:t>日</w:t>
      </w:r>
      <w:r>
        <w:rPr>
          <w:rFonts w:ascii="Arial" w:hAnsi="Arial" w:cs="Arial"/>
          <w:sz w:val="24"/>
        </w:rPr>
        <w:t>语</w:t>
      </w:r>
      <w:r>
        <w:rPr>
          <w:rFonts w:hint="eastAsia" w:ascii="Arial" w:hAnsi="Arial" w:cs="Arial"/>
          <w:sz w:val="24"/>
        </w:rPr>
        <w:t>N1</w:t>
      </w:r>
      <w:r>
        <w:rPr>
          <w:rFonts w:ascii="Arial" w:hAnsi="Arial" w:cs="Arial"/>
          <w:sz w:val="24"/>
        </w:rPr>
        <w:t>证书上。</w:t>
      </w:r>
    </w:p>
    <w:p>
      <w:pPr>
        <w:spacing w:line="360" w:lineRule="auto"/>
        <w:ind w:firstLine="480" w:firstLineChars="200"/>
        <w:rPr>
          <w:rFonts w:ascii="Arial" w:hAnsi="Arial" w:cs="Arial"/>
          <w:sz w:val="24"/>
        </w:rPr>
      </w:pPr>
      <w:r>
        <w:rPr>
          <w:rFonts w:hint="eastAsia" w:ascii="Arial" w:hAnsi="Arial" w:cs="Arial"/>
          <w:sz w:val="24"/>
        </w:rPr>
        <w:t>项目团队应具有</w:t>
      </w:r>
      <w:r>
        <w:rPr>
          <w:rFonts w:ascii="Arial" w:hAnsi="Arial" w:cs="Arial"/>
          <w:sz w:val="24"/>
        </w:rPr>
        <w:t>信息服务人员，</w:t>
      </w:r>
      <w:r>
        <w:rPr>
          <w:rFonts w:hint="eastAsia" w:ascii="Arial" w:hAnsi="Arial" w:cs="Arial"/>
          <w:sz w:val="24"/>
          <w:lang w:eastAsia="zh-CN"/>
        </w:rPr>
        <w:t>具有信息安全方向人员、</w:t>
      </w:r>
      <w:r>
        <w:rPr>
          <w:rFonts w:ascii="Arial" w:hAnsi="Arial" w:cs="Arial"/>
          <w:sz w:val="24"/>
        </w:rPr>
        <w:t>具有</w:t>
      </w:r>
      <w:r>
        <w:rPr>
          <w:rFonts w:hint="eastAsia" w:ascii="Arial" w:hAnsi="Arial" w:cs="Arial"/>
          <w:sz w:val="24"/>
        </w:rPr>
        <w:t>信息系统项目管理师（高级）资质，具有CISP认证证书。</w:t>
      </w:r>
    </w:p>
    <w:p>
      <w:pPr>
        <w:spacing w:line="360" w:lineRule="auto"/>
        <w:ind w:firstLine="480" w:firstLineChars="200"/>
        <w:rPr>
          <w:rFonts w:ascii="Arial" w:hAnsi="Arial" w:cs="Arial"/>
          <w:sz w:val="24"/>
        </w:rPr>
      </w:pPr>
      <w:r>
        <w:rPr>
          <w:rFonts w:hint="eastAsia" w:ascii="Arial" w:hAnsi="Arial" w:cs="Arial"/>
          <w:sz w:val="24"/>
        </w:rPr>
        <w:t>项目团队应具有机器翻译系统保障人员，具有计算机本科及以上学历，且从事机器翻译1年及以上工作经验。</w:t>
      </w:r>
    </w:p>
    <w:p>
      <w:pPr>
        <w:spacing w:line="360" w:lineRule="auto"/>
        <w:ind w:firstLine="480" w:firstLineChars="200"/>
      </w:pPr>
      <w:r>
        <w:rPr>
          <w:rFonts w:hint="eastAsia" w:ascii="Arial" w:hAnsi="Arial" w:cs="Arial"/>
          <w:sz w:val="24"/>
        </w:rPr>
        <w:t>项目团队应</w:t>
      </w:r>
      <w:r>
        <w:rPr>
          <w:rFonts w:hint="eastAsia" w:ascii="宋体" w:hAnsi="宋体" w:cs="仿宋"/>
          <w:lang w:eastAsia="zh-CN"/>
        </w:rPr>
        <w:t>熟练掌握</w:t>
      </w:r>
      <w:r>
        <w:rPr>
          <w:rFonts w:hint="eastAsia" w:ascii="宋体" w:hAnsi="宋体" w:cs="仿宋"/>
        </w:rPr>
        <w:t>与本项目</w:t>
      </w:r>
      <w:r>
        <w:rPr>
          <w:rFonts w:hint="eastAsia" w:ascii="宋体" w:hAnsi="宋体" w:cs="仿宋"/>
          <w:highlight w:val="yellow"/>
        </w:rPr>
        <w:t>相同或类似的数据标准或规范</w:t>
      </w:r>
      <w:r>
        <w:rPr>
          <w:rFonts w:hint="eastAsia" w:ascii="宋体" w:hAnsi="宋体" w:cs="仿宋"/>
          <w:highlight w:val="yellow"/>
          <w:lang w:eastAsia="zh-CN"/>
        </w:rPr>
        <w:t>，具有标准化数据制作经验，</w:t>
      </w:r>
      <w:r>
        <w:rPr>
          <w:rFonts w:hint="eastAsia" w:ascii="Arial" w:hAnsi="Arial" w:cs="Arial"/>
          <w:sz w:val="24"/>
          <w:lang w:eastAsia="zh-CN"/>
        </w:rPr>
        <w:t>，</w:t>
      </w:r>
      <w:commentRangeStart w:id="2"/>
      <w:r>
        <w:rPr>
          <w:rFonts w:hint="eastAsia" w:ascii="Arial" w:hAnsi="Arial" w:cs="Arial"/>
          <w:sz w:val="24"/>
        </w:rPr>
        <w:t>且</w:t>
      </w:r>
      <w:commentRangeEnd w:id="2"/>
      <w:r>
        <w:rPr>
          <w:rStyle w:val="7"/>
        </w:rPr>
        <w:commentReference w:id="2"/>
      </w:r>
      <w:r>
        <w:rPr>
          <w:rFonts w:hint="eastAsia" w:ascii="Arial" w:hAnsi="Arial" w:cs="Arial"/>
          <w:sz w:val="24"/>
        </w:rPr>
        <w:t>具有副高级（含）以上专业技术任职资格或同等资质（包括取得副研究员（含）、高级工程师（含）以上职称）。</w:t>
      </w:r>
      <w:r>
        <w:rPr>
          <w:rFonts w:ascii="Arial" w:hAnsi="Arial" w:cs="Arial"/>
          <w:sz w:val="24"/>
        </w:rPr>
        <w:t xml:space="preserve"> </w:t>
      </w:r>
    </w:p>
    <w:p/>
    <w:p>
      <w:pPr>
        <w:keepNext/>
        <w:keepLines/>
        <w:spacing w:line="360" w:lineRule="auto"/>
        <w:ind w:left="420"/>
        <w:outlineLvl w:val="0"/>
        <w:rPr>
          <w:rFonts w:hint="eastAsia" w:ascii="Arial" w:hAnsi="Arial"/>
          <w:kern w:val="0"/>
          <w:sz w:val="24"/>
        </w:rPr>
      </w:pPr>
    </w:p>
    <w:p>
      <w:bookmarkStart w:id="24" w:name="_GoBack"/>
      <w:bookmarkEnd w:id="24"/>
    </w:p>
    <w:sectPr>
      <w:headerReference r:id="rId5" w:type="first"/>
      <w:pgSz w:w="11906" w:h="16838"/>
      <w:pgMar w:top="1273" w:right="1274" w:bottom="1560" w:left="1701" w:header="1134" w:footer="1029" w:gutter="0"/>
      <w:cols w:space="720" w:num="1"/>
      <w:titlePg/>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uowei_2" w:date="2023-06-26T12:01:00Z" w:initials="g">
    <w:p w14:paraId="48230029">
      <w:pPr>
        <w:pStyle w:val="3"/>
        <w:rPr>
          <w:rFonts w:hint="eastAsia" w:eastAsia="宋体"/>
          <w:lang w:eastAsia="zh-CN"/>
        </w:rPr>
      </w:pPr>
      <w:r>
        <w:rPr>
          <w:rFonts w:hint="eastAsia"/>
          <w:lang w:eastAsia="zh-CN"/>
        </w:rPr>
        <w:t>接受修改</w:t>
      </w:r>
    </w:p>
  </w:comment>
  <w:comment w:id="1" w:author="guowei_2" w:date="2023-06-26T12:00:00Z" w:initials="g">
    <w:p w14:paraId="678418BE">
      <w:pPr>
        <w:pStyle w:val="3"/>
        <w:rPr>
          <w:rFonts w:hint="eastAsia" w:eastAsia="宋体"/>
          <w:lang w:eastAsia="zh-CN"/>
        </w:rPr>
      </w:pPr>
      <w:r>
        <w:rPr>
          <w:rFonts w:hint="eastAsia"/>
          <w:lang w:eastAsia="zh-CN"/>
        </w:rPr>
        <w:t>接受修改</w:t>
      </w:r>
    </w:p>
  </w:comment>
  <w:comment w:id="2" w:author="邓嘉莹" w:date="2023-06-21T10:28:00Z" w:initials="李迎澳">
    <w:p w14:paraId="3D6C4AE1">
      <w:pPr>
        <w:pStyle w:val="3"/>
      </w:pPr>
      <w:r>
        <w:rPr>
          <w:rFonts w:hint="eastAsia"/>
        </w:rPr>
        <w:t>请用户确认，是否需要标准编制经验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678418BE" w15:done="0"/>
  <w15:commentEx w15:paraId="3D6C4AE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36" w:after="36"/>
      <w:ind w:firstLine="42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owei_2">
    <w15:presenceInfo w15:providerId="None" w15:userId="guowei_2"/>
  </w15:person>
  <w15:person w15:author="邓嘉莹">
    <w15:presenceInfo w15:providerId="None" w15:userId="邓嘉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MGRmMTk5NTc1YjEyYmNlY2JlNmZlMDk3NjM0ZDMifQ=="/>
  </w:docVars>
  <w:rsids>
    <w:rsidRoot w:val="65DA6A0F"/>
    <w:rsid w:val="65DA6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qFormat/>
    <w:uiPriority w:val="99"/>
    <w:pPr>
      <w:jc w:val="left"/>
    </w:pPr>
  </w:style>
  <w:style w:type="paragraph" w:styleId="4">
    <w:name w:val="Body Text"/>
    <w:basedOn w:val="1"/>
    <w:qFormat/>
    <w:uiPriority w:val="0"/>
    <w:pPr>
      <w:spacing w:line="360" w:lineRule="auto"/>
    </w:pPr>
    <w:rPr>
      <w:sz w:val="24"/>
      <w:szCs w:val="20"/>
    </w:rPr>
  </w:style>
  <w:style w:type="character" w:styleId="7">
    <w:name w:val="annotation reference"/>
    <w:qFormat/>
    <w:uiPriority w:val="0"/>
    <w:rPr>
      <w:sz w:val="21"/>
      <w:szCs w:val="21"/>
    </w:rPr>
  </w:style>
  <w:style w:type="paragraph" w:customStyle="1" w:styleId="8">
    <w:name w:val="_正文段落"/>
    <w:basedOn w:val="9"/>
    <w:qFormat/>
    <w:uiPriority w:val="0"/>
    <w:pPr>
      <w:spacing w:beforeLines="15" w:afterLines="15"/>
      <w:ind w:firstLine="200" w:firstLineChars="200"/>
    </w:pPr>
  </w:style>
  <w:style w:type="paragraph" w:customStyle="1" w:styleId="9">
    <w:name w:val="_正文"/>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jpeg"/><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7472</Words>
  <Characters>7952</Characters>
  <Lines>0</Lines>
  <Paragraphs>0</Paragraphs>
  <TotalTime>0</TotalTime>
  <ScaleCrop>false</ScaleCrop>
  <LinksUpToDate>false</LinksUpToDate>
  <CharactersWithSpaces>8030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2023-06-28T08:41:00Z</dcterms:created>
  <dc:creator>中招国际</dc:creator>
  <cp:lastModifiedBy>中招国际</cp:lastModifiedBy>
  <dcterms:modified xsi:type="dcterms:W3CDTF">2023-06-28T08:41:26Z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458BE3E22F9D427AA662449A58D30A13_11</vt:lpwstr>
  </property>
</Properties>
</file>