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440222-2023-00488</w:t>
      </w:r>
    </w:p>
    <w:p>
      <w:pPr>
        <w:jc w:val="center"/>
      </w:pPr>
      <w:r>
        <w:rPr>
          <w:b/>
          <w:sz w:val="24"/>
        </w:rPr>
        <w:t>采购项目编号：</w:t>
      </w:r>
      <w:r>
        <w:rPr>
          <w:b/>
          <w:sz w:val="24"/>
        </w:rPr>
        <w:t>SGTS2023011</w:t>
      </w:r>
    </w:p>
    <w:p>
      <w:pPr>
        <w:jc w:val="center"/>
      </w:pPr>
      <w:r>
        <w:rPr>
          <w:b/>
          <w:sz w:val="24"/>
        </w:rPr>
        <w:t>项目名称：</w:t>
      </w:r>
      <w:r>
        <w:rPr>
          <w:b/>
          <w:sz w:val="24"/>
        </w:rPr>
        <w:t>始兴县始兴中学英语听说考场设备采购项目</w:t>
      </w:r>
    </w:p>
    <w:p>
      <w:pPr>
        <w:jc w:val="center"/>
      </w:pPr>
      <w:r>
        <w:rPr>
          <w:b/>
          <w:sz w:val="24"/>
        </w:rPr>
        <w:t>采购人：</w:t>
      </w:r>
      <w:r>
        <w:rPr>
          <w:b/>
          <w:sz w:val="24"/>
        </w:rPr>
        <w:t>始兴县始兴中学</w:t>
      </w:r>
    </w:p>
    <w:p>
      <w:pPr>
        <w:jc w:val="center"/>
      </w:pPr>
      <w:r>
        <w:rPr>
          <w:b/>
          <w:sz w:val="24"/>
        </w:rPr>
        <w:t>采购代理机构：</w:t>
      </w:r>
      <w:r>
        <w:rPr>
          <w:b/>
          <w:sz w:val="24"/>
        </w:rPr>
        <w:t>韶关市通盛招标代理有限公司</w:t>
      </w:r>
    </w:p>
    <w:p>
      <w:pPr>
        <w:ind w:firstLine="480"/>
      </w:pPr>
    </w:p>
    <w:p>
      <w:r>
        <w:rPr/>
        <w:t xml:space="preserve"> </w:t>
      </w:r>
    </w:p>
    <w:p/>
    <w:p>
      <w:pPr>
        <w:jc w:val="center"/>
      </w:pPr>
      <w:r>
        <w:rPr>
          <w:b/>
          <w:sz w:val="36"/>
        </w:rPr>
        <w:t>第一章 磋商邀请</w:t>
      </w:r>
    </w:p>
    <w:p>
      <w:pPr>
        <w:ind w:firstLine="480"/>
      </w:pPr>
      <w:r>
        <w:rPr/>
        <w:t>韶关市通盛招标代理有限公司</w:t>
      </w:r>
      <w:r>
        <w:rPr/>
        <w:t>受</w:t>
      </w:r>
      <w:r>
        <w:rPr/>
        <w:t>始兴县始兴中学</w:t>
      </w:r>
      <w:r>
        <w:rPr/>
        <w:t>的委托，采用</w:t>
      </w:r>
      <w:r>
        <w:rPr/>
        <w:t>竞争性磋商</w:t>
      </w:r>
      <w:r>
        <w:rPr/>
        <w:t>方式组织采购</w:t>
      </w:r>
      <w:r>
        <w:rPr/>
        <w:t>始兴县始兴中学英语听说考场设备采购项目</w:t>
      </w:r>
      <w:r>
        <w:rPr/>
        <w:t>。欢迎符合资格条件的供应商参加。</w:t>
      </w:r>
    </w:p>
    <w:p>
      <w:r>
        <w:rPr>
          <w:b/>
          <w:sz w:val="28"/>
        </w:rPr>
        <w:t>一.项目概述</w:t>
      </w:r>
    </w:p>
    <w:p>
      <w:r>
        <w:rPr>
          <w:b/>
          <w:sz w:val="24"/>
        </w:rPr>
        <w:t>1.名称与编号</w:t>
      </w:r>
    </w:p>
    <w:p>
      <w:pPr>
        <w:ind w:firstLine="480"/>
      </w:pPr>
      <w:r>
        <w:rPr/>
        <w:t>采购项目名称：</w:t>
      </w:r>
      <w:r>
        <w:rPr/>
        <w:t>始兴县始兴中学英语听说考场设备采购项目</w:t>
      </w:r>
    </w:p>
    <w:p>
      <w:pPr>
        <w:ind w:firstLine="480"/>
      </w:pPr>
      <w:r>
        <w:rPr/>
        <w:t>采购计划编号：</w:t>
      </w:r>
      <w:r>
        <w:rPr/>
        <w:t>440222-2023-00488</w:t>
      </w:r>
    </w:p>
    <w:p>
      <w:pPr>
        <w:ind w:firstLine="480"/>
      </w:pPr>
      <w:r>
        <w:rPr/>
        <w:t>采购项目编号：</w:t>
      </w:r>
      <w:r>
        <w:rPr/>
        <w:t>SGTS2023011</w:t>
      </w:r>
    </w:p>
    <w:p>
      <w:pPr>
        <w:ind w:firstLine="480"/>
      </w:pPr>
      <w:r>
        <w:rPr/>
        <w:t>采购方式：</w:t>
      </w:r>
      <w:r>
        <w:rPr/>
        <w:t>竞争性磋商</w:t>
      </w:r>
    </w:p>
    <w:p>
      <w:pPr>
        <w:ind w:firstLine="480"/>
      </w:pPr>
      <w:r>
        <w:rPr/>
        <w:t>预算金额：</w:t>
      </w:r>
      <w:r>
        <w:rPr/>
        <w:t>1,194,856.00</w:t>
      </w:r>
      <w:r>
        <w:rPr/>
        <w:t>元</w:t>
      </w:r>
    </w:p>
    <w:p>
      <w:r>
        <w:rPr>
          <w:b/>
          <w:sz w:val="24"/>
        </w:rPr>
        <w:t>2.项目内容及需求情况（采购项目技术规格、参数及要求）</w:t>
      </w:r>
    </w:p>
    <w:p>
      <w:pPr>
        <w:ind w:firstLine="480"/>
      </w:pPr>
    </w:p>
    <w:p/>
    <w:p>
      <w:r>
        <w:rPr/>
        <w:t>采购包1(始兴中学英语听说考场设备):</w:t>
      </w:r>
    </w:p>
    <w:p>
      <w:r>
        <w:rPr/>
        <w:t>采购包预算金额：1,194,856.00元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其他计算机</w:t>
            </w:r>
          </w:p>
        </w:tc>
        <w:tc>
          <w:tcPr>
            <w:tcW w:type="dxa" w:w="2136"/>
          </w:tcPr>
          <w:p>
            <w:r>
              <w:rPr/>
              <w:t>始兴中学英语听说考场设备</w:t>
            </w:r>
          </w:p>
        </w:tc>
        <w:tc>
          <w:tcPr>
            <w:tcW w:type="dxa" w:w="1187"/>
          </w:tcPr>
          <w:p>
            <w:r>
              <w:rPr/>
              <w:t>1(项)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合同履行期限：自合同签订之日起15日历天内.</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2）有依法缴纳税收和社会保障资金的良好记录：提供资格条件承诺函</w:t>
      </w:r>
    </w:p>
    <w:p/>
    <w:p>
      <w:r>
        <w:rPr/>
        <w:t>3）具有良好的商业信誉和健全的财务会计制度：提供资格条件承诺函</w:t>
      </w:r>
    </w:p>
    <w:p/>
    <w:p>
      <w:r>
        <w:rPr/>
        <w:t>4）履行合同所必需的设备和专业技术能力：提供资格条件承诺函</w:t>
      </w:r>
    </w:p>
    <w:p/>
    <w:p>
      <w:r>
        <w:rPr/>
        <w:t>5）参加采购活动前3年内，在经营活动中没有重大违法记录：提供资格条件承诺函</w:t>
      </w:r>
    </w:p>
    <w:p/>
    <w:p>
      <w:r>
        <w:rPr>
          <w:b/>
          <w:sz w:val="24"/>
        </w:rPr>
        <w:t>2.落实政府采购政策需满足的资格要求：</w:t>
      </w:r>
    </w:p>
    <w:p>
      <w:pPr>
        <w:ind w:firstLine="480"/>
      </w:pPr>
    </w:p>
    <w:p>
      <w:pPr>
        <w:jc w:val="left"/>
      </w:pPr>
    </w:p>
    <w:p>
      <w:r>
        <w:rPr/>
        <w:t>采购包1（始兴中学英语听说考场设备）：</w:t>
      </w:r>
      <w:r>
        <w:rPr/>
        <w:t>本采购包不属于专门面向中小企业采购的项目</w:t>
      </w:r>
    </w:p>
    <w:p/>
    <w:p>
      <w:r>
        <w:rPr>
          <w:b/>
          <w:sz w:val="24"/>
        </w:rPr>
        <w:t>3.本项目特定的资格要求：</w:t>
      </w:r>
    </w:p>
    <w:p>
      <w:pPr>
        <w:ind w:firstLine="480"/>
      </w:pPr>
    </w:p>
    <w:p/>
    <w:p>
      <w:r>
        <w:rPr/>
        <w:t>采购包1（始兴中学英语听说考场设备）：</w:t>
      </w:r>
    </w:p>
    <w:p/>
    <w:p>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响应承诺函。</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始兴县始兴中学</w:t>
      </w:r>
    </w:p>
    <w:p>
      <w:pPr>
        <w:ind w:firstLine="480"/>
      </w:pPr>
      <w:r>
        <w:rPr/>
        <w:t>地址：</w:t>
      </w:r>
      <w:r>
        <w:rPr/>
        <w:t>始兴县太平镇城东路338号</w:t>
      </w:r>
    </w:p>
    <w:p>
      <w:pPr>
        <w:ind w:firstLine="480"/>
      </w:pPr>
      <w:r>
        <w:rPr/>
        <w:t>联系方式：</w:t>
      </w:r>
      <w:r>
        <w:rPr/>
        <w:t>18998664086</w:t>
      </w:r>
    </w:p>
    <w:p>
      <w:r>
        <w:rPr>
          <w:b/>
          <w:sz w:val="24"/>
        </w:rPr>
        <w:t>2.采购代理机构信息</w:t>
      </w:r>
    </w:p>
    <w:p>
      <w:pPr>
        <w:ind w:firstLine="480"/>
      </w:pPr>
      <w:r>
        <w:rPr/>
        <w:t>名称：</w:t>
      </w:r>
      <w:r>
        <w:rPr/>
        <w:t>韶关市通盛招标代理有限公司</w:t>
      </w:r>
    </w:p>
    <w:p>
      <w:pPr>
        <w:ind w:firstLine="480"/>
      </w:pPr>
      <w:r>
        <w:rPr/>
        <w:t>地址：</w:t>
      </w:r>
      <w:r>
        <w:rPr/>
        <w:t>韶关市武江区西联镇车头新村四街53座-3</w:t>
      </w:r>
    </w:p>
    <w:p>
      <w:pPr>
        <w:ind w:firstLine="480"/>
      </w:pPr>
      <w:r>
        <w:rPr/>
        <w:t>联系方式：</w:t>
      </w:r>
      <w:r>
        <w:rPr/>
        <w:t>18307513921</w:t>
      </w:r>
    </w:p>
    <w:p>
      <w:r>
        <w:rPr>
          <w:b/>
          <w:sz w:val="24"/>
        </w:rPr>
        <w:t>3.项目联系方式</w:t>
      </w:r>
    </w:p>
    <w:p>
      <w:pPr>
        <w:ind w:firstLine="480"/>
      </w:pPr>
      <w:r>
        <w:rPr/>
        <w:t>项目联系人：</w:t>
      </w:r>
      <w:r>
        <w:rPr/>
        <w:t>龙小姐</w:t>
      </w:r>
    </w:p>
    <w:p>
      <w:pPr>
        <w:ind w:firstLine="480"/>
      </w:pPr>
      <w:r>
        <w:rPr/>
        <w:t>电话：</w:t>
      </w:r>
      <w:r>
        <w:rPr/>
        <w:t>18307513921</w:t>
      </w:r>
    </w:p>
    <w:p>
      <w:r>
        <w:rPr>
          <w:b/>
          <w:sz w:val="24"/>
        </w:rPr>
        <w:t>4.技术支持联系方式</w:t>
      </w:r>
    </w:p>
    <w:p>
      <w:pPr>
        <w:ind w:firstLine="480"/>
      </w:pPr>
      <w:r>
        <w:rPr/>
        <w:t>云平台联系方式：020-88696588</w:t>
      </w:r>
    </w:p>
    <w:p>
      <w:r>
        <w:rPr/>
        <w:t>采购代理机构：</w:t>
      </w:r>
      <w:r>
        <w:rPr/>
        <w:t>韶关市通盛招标代理有限公司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sz w:val="21"/>
        </w:rPr>
        <w:t>（一）有关说明</w:t>
      </w:r>
    </w:p>
    <w:p>
      <w:pPr>
        <w:jc w:val="left"/>
      </w:pPr>
      <w:r>
        <w:rPr>
          <w:sz w:val="21"/>
        </w:rPr>
        <w:t>1、</w:t>
      </w:r>
      <w:r>
        <w:rPr>
          <w:sz w:val="21"/>
        </w:rPr>
        <w:t>响应供应商须对本项目的采购标的进行整体</w:t>
      </w:r>
      <w:r>
        <w:rPr>
          <w:sz w:val="21"/>
        </w:rPr>
        <w:t>响应</w:t>
      </w:r>
      <w:r>
        <w:rPr>
          <w:sz w:val="21"/>
        </w:rPr>
        <w:t>，任何只对本项目采购标的其中一部分内容、数量进行的响应都被视为响应无效。</w:t>
      </w:r>
    </w:p>
    <w:p>
      <w:pPr>
        <w:jc w:val="left"/>
      </w:pPr>
      <w:r>
        <w:rPr>
          <w:sz w:val="21"/>
        </w:rPr>
        <w:t>2</w:t>
      </w:r>
      <w:r>
        <w:rPr>
          <w:sz w:val="21"/>
        </w:rPr>
        <w:t>、采购需求书中</w:t>
      </w:r>
      <w:r>
        <w:rPr>
          <w:sz w:val="21"/>
        </w:rPr>
        <w:t>标注</w:t>
      </w:r>
      <w:r>
        <w:rPr>
          <w:sz w:val="21"/>
        </w:rPr>
        <w:t>“</w:t>
      </w:r>
      <w:r>
        <w:rPr>
          <w:sz w:val="21"/>
        </w:rPr>
        <w:t>▲</w:t>
      </w:r>
      <w:r>
        <w:rPr>
          <w:sz w:val="21"/>
        </w:rPr>
        <w:t>”</w:t>
      </w:r>
      <w:r>
        <w:rPr>
          <w:sz w:val="21"/>
        </w:rPr>
        <w:t>号条款为重要技术参数，但不作为无效响应条款。</w:t>
      </w:r>
    </w:p>
    <w:p>
      <w:pPr>
        <w:jc w:val="left"/>
      </w:pPr>
      <w:r>
        <w:rPr>
          <w:sz w:val="21"/>
        </w:rPr>
        <w:t>（二）项目基本概况</w:t>
      </w:r>
    </w:p>
    <w:p>
      <w:pPr>
        <w:ind w:firstLine="420"/>
        <w:jc w:val="left"/>
      </w:pPr>
      <w:r>
        <w:rPr>
          <w:sz w:val="21"/>
        </w:rPr>
        <w:t>高考英语听说考场在</w:t>
      </w:r>
      <w:r>
        <w:rPr>
          <w:sz w:val="21"/>
        </w:rPr>
        <w:t>2011年由原电脑室通过增加符合高考英语听说标准的耳麦、软件、服务器达到高考要求，通过省教育考试院评估达到高考标准。在2017年原电脑达到使用年限更换了电脑。现在这批电脑出现了不能正常开机、蓝屏死机、录音质量不好等问题，这些问题重影响我校高考的正常进行。现对照广东省教育厅粤教考[2020]2号文（《广东省普通高考英语听说考试标准化考点建设和管理规范（暂行）》）建设二间多功能语音教室，以满足高中英语听说考试、信息技术学科教学、教师计算机操作能力培训等多方面的需求。</w:t>
      </w:r>
    </w:p>
    <w:p>
      <w:pPr>
        <w:ind w:firstLine="420"/>
        <w:jc w:val="left"/>
      </w:pPr>
      <w:r>
        <w:rPr>
          <w:sz w:val="21"/>
        </w:rPr>
        <w:t>采购清单如下：</w:t>
      </w:r>
    </w:p>
    <w:tbl>
      <w:tblPr>
        <w:tblW w:w="0" w:type="auto"/>
        <w:tblBorders>
          <w:top w:val="none" w:color="000000" w:sz="4"/>
          <w:left w:val="none" w:color="000000" w:sz="4"/>
          <w:bottom w:val="none" w:color="000000" w:sz="4"/>
          <w:right w:val="none" w:color="000000" w:sz="4"/>
          <w:insideH w:val="none"/>
          <w:insideV w:val="none"/>
        </w:tblBorders>
      </w:tblPr>
      <w:tblGrid>
        <w:gridCol w:w="724"/>
        <w:gridCol w:w="2201"/>
        <w:gridCol w:w="1215"/>
        <w:gridCol w:w="1215"/>
        <w:gridCol w:w="1215"/>
        <w:gridCol w:w="1215"/>
      </w:tblGrid>
      <w:tr>
        <w:tc>
          <w:tcPr>
            <w:tcW w:type="dxa" w:w="72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201"/>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1215"/>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1215"/>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215"/>
            <w:tcBorders>
              <w:top w:val="single" w:color="000000" w:sz="4"/>
              <w:left w:val="none" w:color="000000" w:sz="4"/>
              <w:bottom w:val="single" w:color="000000" w:sz="4"/>
              <w:right w:val="single" w:color="000000" w:sz="4"/>
            </w:tcBorders>
            <w:vAlign w:val="top"/>
          </w:tcPr>
          <w:p>
            <w:pPr>
              <w:jc w:val="center"/>
            </w:pPr>
            <w:r>
              <w:rPr>
                <w:sz w:val="21"/>
              </w:rPr>
              <w:t>核心产品</w:t>
            </w:r>
          </w:p>
        </w:tc>
        <w:tc>
          <w:tcPr>
            <w:tcW w:type="dxa" w:w="1215"/>
            <w:tcBorders>
              <w:top w:val="single" w:color="000000" w:sz="4"/>
              <w:left w:val="none" w:color="000000" w:sz="4"/>
              <w:bottom w:val="single" w:color="000000" w:sz="4"/>
              <w:right w:val="single" w:color="000000" w:sz="4"/>
            </w:tcBorders>
            <w:vAlign w:val="top"/>
          </w:tcPr>
          <w:p>
            <w:pPr>
              <w:jc w:val="center"/>
            </w:pPr>
            <w:r>
              <w:rPr>
                <w:sz w:val="21"/>
              </w:rPr>
              <w:t>主要标的</w:t>
            </w: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语音室学生端</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106</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是</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是</w:t>
            </w: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高考耳麦</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104</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24口交换机</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6</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42U机柜</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1</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教师桌椅</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2</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单人学生机电脑桌</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104</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张</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学生椅</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104</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张</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冷暖变频天花机</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4</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天花吊顶</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214</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m²</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语音室</w:t>
            </w:r>
            <w:r>
              <w:rPr>
                <w:sz w:val="21"/>
              </w:rPr>
              <w:t>机架式服务器</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2</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A4</w:t>
            </w:r>
            <w:r>
              <w:rPr>
                <w:sz w:val="21"/>
              </w:rPr>
              <w:t>激光打印机</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1</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网线</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8</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箱</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电线</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12</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卷</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电脑室门</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4</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扇</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静电地板</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214</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平方</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固态移动硬盘</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1</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UPS电源</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1</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一体化有源蓝牙音箱</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1</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教学一体机</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1</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组合式无尘绿板</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1</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辅助材料</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2</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间</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2201"/>
            <w:tcBorders>
              <w:top w:val="none" w:color="000000" w:sz="4"/>
              <w:left w:val="none" w:color="000000" w:sz="4"/>
              <w:bottom w:val="single" w:color="000000" w:sz="4"/>
              <w:right w:val="single" w:color="000000" w:sz="4"/>
            </w:tcBorders>
            <w:vAlign w:val="top"/>
          </w:tcPr>
          <w:p>
            <w:pPr>
              <w:jc w:val="center"/>
            </w:pPr>
            <w:r>
              <w:rPr>
                <w:sz w:val="21"/>
              </w:rPr>
              <w:t>设备调试</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2</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215"/>
            <w:tcBorders>
              <w:top w:val="none" w:color="000000" w:sz="4"/>
              <w:left w:val="none" w:color="000000" w:sz="4"/>
              <w:bottom w:val="single" w:color="000000" w:sz="4"/>
              <w:right w:val="single" w:color="000000" w:sz="4"/>
            </w:tcBorders>
            <w:vAlign w:val="top"/>
          </w:tcPr>
          <w:p>
            <w:pPr>
              <w:jc w:val="center"/>
            </w:pPr>
          </w:p>
        </w:tc>
        <w:tc>
          <w:tcPr>
            <w:tcW w:type="dxa" w:w="1215"/>
            <w:tcBorders>
              <w:top w:val="none" w:color="000000" w:sz="4"/>
              <w:left w:val="none" w:color="000000" w:sz="4"/>
              <w:bottom w:val="single" w:color="000000" w:sz="4"/>
              <w:right w:val="single" w:color="000000" w:sz="4"/>
            </w:tcBorders>
            <w:vAlign w:val="top"/>
          </w:tcPr>
          <w:p>
            <w:pPr>
              <w:jc w:val="center"/>
            </w:pPr>
          </w:p>
        </w:tc>
      </w:tr>
    </w:tbl>
    <w:p>
      <w:r>
        <w:rPr/>
        <w:t xml:space="preserve"> </w:t>
      </w:r>
    </w:p>
    <w:p/>
    <w:p>
      <w:pPr>
        <w:ind w:firstLine="480"/>
      </w:pPr>
    </w:p>
    <w:p/>
    <w:p>
      <w:r>
        <w:rPr/>
        <w:t>采购包1（始兴中学英语听说考场设备）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自合同签订之日起15日历天内</w:t>
            </w:r>
          </w:p>
        </w:tc>
      </w:tr>
      <w:tr>
        <w:tc>
          <w:tcPr>
            <w:tcW w:type="dxa" w:w="4153"/>
          </w:tcPr>
          <w:p>
            <w:r>
              <w:rPr/>
              <w:t>标的提供的地点</w:t>
            </w:r>
          </w:p>
        </w:tc>
        <w:tc>
          <w:tcPr>
            <w:tcW w:type="dxa" w:w="4153"/>
          </w:tcPr>
          <w:p/>
          <w:p>
            <w:r>
              <w:rPr/>
              <w:t>始兴县始兴中学</w:t>
            </w:r>
          </w:p>
        </w:tc>
      </w:tr>
      <w:tr>
        <w:tc>
          <w:tcPr>
            <w:tcW w:type="dxa" w:w="4153"/>
          </w:tcPr>
          <w:p>
            <w:r>
              <w:rPr/>
              <w:t>付款方式</w:t>
            </w:r>
          </w:p>
        </w:tc>
        <w:tc>
          <w:tcPr>
            <w:tcW w:type="dxa" w:w="4153"/>
          </w:tcPr>
          <w:p/>
          <w:p/>
          <w:p>
            <w:r>
              <w:rPr/>
              <w:t>1期：支付比例100%,项目验收合格全部完工后支付合同总价的100%。 （1）成交人凭以下有效文件与采购人结算：①合同；②成交人开具的正式发票；③成交通知书；④验收/成果报告等采购人要求的其他相关结算资料。 （2）因采购人使用的是财政资金，按照前款规定的付款时间，采购人在收到成交人发票后5个工作日内向政府采购支付部门提出办理财政支付申请手续（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其他商务要求，（一）包装、保险及发运、保管要求 1.设备材料的包装必须是制造商原厂包装，其包装均应有良好的防湿、防锈、防潮、防雨、防腐及防碰撞的措施。凡由于包装不良造成的损失和由此产生的费用均由成交人承担。 2.成交人负责将设备材料货到现场过程中的全部运输，包括装卸车、货物现场的搬运。 3.各种设备必须提供装箱清单，按装箱清单验收货物。 4.货物在现场的保管由成交人负责，直至项目安装、验收完毕。 5.货物在系统安装调试验收合格前的保险由成交人负责，成交人负责其派出的现场服务人员人身意外保险。 6.设备至采购人指定的使用现场的包装、保险及发运等环节和费用均由成交人负责。 （二）质保期及售后服务要求 1.质量保证期（简称“质保期”）为3年，质保期内成交人对所供货物实行包修、包换、包退、包维护保养。 2.质保期内，如设备或零部件因非人为因素出现故障而造成短期停用时，则质保期和免费维修期相应顺延。如停用时间累计超过60天则质保期重新计算。 3.对采购人的服务通知，成交人在接报后1小时内响应，2小时内到达现场，24小时内处理完毕。若在24小时内仍未能有效解决，成交人须免费提供同档次的设备予采购人临时使用。 （三）安装、调试与交付 1.成交人必须依照磋商文件的要求和响应文件的承诺，将设备、系统安装并调试至正常运行的最佳状态。 2.货物若有国家标准按照国家标准验收，若无国家标准按行业标准验收，为原制造商制造的全新产品，整机无污染，无侵权行为、表面无划损、无任何缺陷隐患，在中国境内可依常规安全合法使用。  3.货物为原厂商未启封全新包装，具出厂合格证，序列号、包装箱号与出厂批号一致，并可追索查阅。所有随设备的附件必须齐全。 4.成交人应将关键主机设备的用户手册、保修手册、有关单证资料及配备件、随机工具等交付给采购人，使用操作及安全须知等重要资料应附有中文说明。</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其他计算机</w:t>
            </w:r>
          </w:p>
        </w:tc>
        <w:tc>
          <w:tcPr>
            <w:tcW w:type="dxa" w:w="933"/>
          </w:tcPr>
          <w:p>
            <w:pPr>
              <w:jc w:val="left"/>
            </w:pPr>
            <w:r>
              <w:rPr/>
              <w:t>始兴中学英语听说考场设备</w:t>
            </w:r>
          </w:p>
        </w:tc>
        <w:tc>
          <w:tcPr>
            <w:tcW w:type="dxa" w:w="933"/>
          </w:tcPr>
          <w:p>
            <w:pPr>
              <w:jc w:val="left"/>
            </w:pPr>
            <w:r>
              <w:rPr/>
              <w:t>项</w:t>
            </w:r>
          </w:p>
        </w:tc>
        <w:tc>
          <w:tcPr>
            <w:tcW w:type="dxa" w:w="933"/>
          </w:tcPr>
          <w:p>
            <w:pPr>
              <w:jc w:val="right"/>
            </w:pPr>
            <w:r>
              <w:rPr/>
              <w:t>1.00</w:t>
            </w:r>
          </w:p>
        </w:tc>
        <w:tc>
          <w:tcPr>
            <w:tcW w:type="dxa" w:w="933"/>
          </w:tcPr>
          <w:p>
            <w:pPr>
              <w:jc w:val="right"/>
            </w:pPr>
            <w:r>
              <w:rPr/>
              <w:t>1,194,856.00</w:t>
            </w:r>
          </w:p>
        </w:tc>
        <w:tc>
          <w:tcPr>
            <w:tcW w:type="dxa" w:w="933"/>
          </w:tcPr>
          <w:p>
            <w:pPr>
              <w:jc w:val="right"/>
            </w:pPr>
            <w:r>
              <w:rPr/>
              <w:t>1,194,856.00</w:t>
            </w:r>
          </w:p>
        </w:tc>
        <w:tc>
          <w:tcPr>
            <w:tcW w:type="dxa" w:w="840"/>
          </w:tcPr>
          <w:p>
            <w:r>
              <w:rPr/>
              <w:t>工业</w:t>
            </w:r>
          </w:p>
        </w:tc>
        <w:tc>
          <w:tcPr>
            <w:tcW w:type="dxa" w:w="933"/>
          </w:tcPr>
          <w:p>
            <w:r>
              <w:rPr/>
              <w:t>详见附表一</w:t>
            </w:r>
          </w:p>
        </w:tc>
      </w:tr>
    </w:tbl>
    <w:p/>
    <w:p>
      <w:r>
        <w:rPr>
          <w:b/>
        </w:rPr>
        <w:t>附表</w:t>
      </w:r>
      <w:r>
        <w:rPr>
          <w:b/>
        </w:rPr>
        <w:t>一</w:t>
      </w:r>
      <w:r>
        <w:rPr>
          <w:b/>
        </w:rPr>
        <w:t>：</w:t>
      </w:r>
      <w:r>
        <w:rPr>
          <w:b/>
        </w:rPr>
        <w:t>始兴中学英语听说考场设备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b/>
                <w:sz w:val="21"/>
              </w:rPr>
              <w:t>语音室学生端</w:t>
            </w:r>
          </w:p>
          <w:p>
            <w:pPr>
              <w:jc w:val="left"/>
            </w:pPr>
            <w:r>
              <w:rPr>
                <w:color w:val="000000"/>
                <w:sz w:val="21"/>
              </w:rPr>
              <w:t>1.</w:t>
            </w:r>
            <w:r>
              <w:rPr>
                <w:color w:val="000000"/>
                <w:sz w:val="21"/>
              </w:rPr>
              <w:t>▲处理器: NewCorei5-12500(3.0G/18M/6核)或以上CPU,配备智能散热系统，包括由BIOS管理的智能风扇，可通过对机箱内部的温度感应来调节风扇速度；</w:t>
            </w:r>
            <w:r>
              <w:br/>
            </w:r>
            <w:r>
              <w:rPr>
                <w:color w:val="000000"/>
                <w:sz w:val="21"/>
              </w:rPr>
              <w:t>2.▲芯片组：英特尔H670 Express或以上，主板Bios集成网络同传功能；</w:t>
            </w:r>
            <w:r>
              <w:br/>
            </w:r>
            <w:r>
              <w:rPr>
                <w:color w:val="000000"/>
                <w:sz w:val="21"/>
              </w:rPr>
              <w:t>3.▲内存：≥16GB DDR4 2933 MHz或以上，2 个 DIMM 插槽最大支持64G；数据传输率最高可达2933 MT/S。</w:t>
            </w:r>
            <w:r>
              <w:br/>
            </w:r>
            <w:r>
              <w:rPr>
                <w:color w:val="000000"/>
                <w:sz w:val="21"/>
              </w:rPr>
              <w:t>4.硬盘：≥512G  M.2 SSD，可以扩展双硬盘。</w:t>
            </w:r>
            <w:r>
              <w:br/>
            </w:r>
            <w:r>
              <w:rPr>
                <w:color w:val="000000"/>
                <w:sz w:val="21"/>
              </w:rPr>
              <w:t>5.光驱：无光驱；</w:t>
            </w:r>
            <w:r>
              <w:br/>
            </w:r>
            <w:r>
              <w:rPr>
                <w:color w:val="000000"/>
                <w:sz w:val="21"/>
              </w:rPr>
              <w:t>6.▲显卡: 性能≥UHD 730;最高可支持扩展GFX NVIDIA GeF RTX 3050 8GB GDDR6独立显卡，</w:t>
            </w:r>
            <w:r>
              <w:br/>
            </w:r>
            <w:r>
              <w:rPr>
                <w:color w:val="000000"/>
                <w:sz w:val="21"/>
              </w:rPr>
              <w:t>7.网卡：集成 Realtek RTL8111HSH-CG 千兆以太网卡，具有中断调节提高性能，在线维护能力；</w:t>
            </w:r>
            <w:r>
              <w:br/>
            </w:r>
            <w:r>
              <w:rPr>
                <w:color w:val="000000"/>
                <w:sz w:val="21"/>
              </w:rPr>
              <w:t xml:space="preserve">8.键盘/鼠标：USB 键盘、光电鼠标；   </w:t>
            </w:r>
            <w:r>
              <w:br/>
            </w:r>
            <w:r>
              <w:rPr>
                <w:color w:val="000000"/>
                <w:sz w:val="21"/>
              </w:rPr>
              <w:t xml:space="preserve">9.▲声卡和音箱：主板集成声卡，标配内置音箱；内置降噪软件并；                                                                                      </w:t>
            </w:r>
            <w:r>
              <w:br/>
            </w:r>
            <w:r>
              <w:rPr>
                <w:color w:val="000000"/>
                <w:sz w:val="21"/>
              </w:rPr>
              <w:t>10.▲I/O:8个USB端口（前置：6个USB接口，（USB数据接口输出电压范围：4.75-5.25Vdc；USB数据接口输出电流范围：500mA-1500mA；USB数据接口无负载能量消耗：＜150mW；USB数据接口接触电流应不超过20uA）</w:t>
            </w:r>
            <w:r>
              <w:rPr>
                <w:b/>
                <w:color w:val="000000"/>
                <w:sz w:val="21"/>
              </w:rPr>
              <w:t>（提供制造厂商盖章的技术说明书或认证</w:t>
            </w:r>
            <w:r>
              <w:rPr>
                <w:b/>
                <w:color w:val="000000"/>
                <w:sz w:val="21"/>
              </w:rPr>
              <w:t>)</w:t>
            </w:r>
            <w:r>
              <w:br/>
            </w:r>
            <w:r>
              <w:rPr>
                <w:color w:val="000000"/>
                <w:sz w:val="21"/>
              </w:rPr>
              <w:t>（</w:t>
            </w:r>
            <w:r>
              <w:rPr>
                <w:color w:val="000000"/>
                <w:sz w:val="21"/>
              </w:rPr>
              <w:t>1）</w:t>
            </w:r>
            <w:r>
              <w:rPr>
                <w:color w:val="000000"/>
                <w:sz w:val="21"/>
              </w:rPr>
              <w:t>前置：</w:t>
            </w:r>
            <w:r>
              <w:rPr>
                <w:color w:val="000000"/>
                <w:sz w:val="21"/>
              </w:rPr>
              <w:t>1个3合一 SD卡读卡器槽位；1个耳机/麦克风插孔组合模块；2个第二代USB 3.2端口，4个第一代USB 3.2端口；</w:t>
            </w:r>
            <w:r>
              <w:br/>
            </w:r>
            <w:r>
              <w:rPr>
                <w:color w:val="000000"/>
                <w:sz w:val="21"/>
              </w:rPr>
              <w:t>（</w:t>
            </w:r>
            <w:r>
              <w:rPr>
                <w:color w:val="000000"/>
                <w:sz w:val="21"/>
              </w:rPr>
              <w:t>2）</w:t>
            </w:r>
            <w:r>
              <w:rPr>
                <w:color w:val="000000"/>
                <w:sz w:val="21"/>
              </w:rPr>
              <w:t>后置：</w:t>
            </w:r>
            <w:r>
              <w:rPr>
                <w:color w:val="000000"/>
                <w:sz w:val="21"/>
              </w:rPr>
              <w:t>1个HDMI端口；1个音频线路输入端口，1个音频输出端口；1个RJ-45端口；1个VGA端口；2个USB 2.0 端口；可选：1个并行端口；1个PS/2端口；1个4X串行端口；1个串行端口，2个USB 2.0端口；</w:t>
            </w:r>
            <w:r>
              <w:br/>
            </w:r>
            <w:r>
              <w:rPr>
                <w:color w:val="000000"/>
                <w:sz w:val="21"/>
              </w:rPr>
              <w:t>11. 扩展插槽: 2 个 M.2插槽； 1 个 PCIe x16 插槽；1个 PCIe x1 插槽</w:t>
            </w:r>
            <w:r>
              <w:rPr>
                <w:color w:val="000000"/>
                <w:sz w:val="21"/>
              </w:rPr>
              <w:t>。</w:t>
            </w:r>
            <w:r>
              <w:rPr/>
              <w:t xml:space="preserve"> </w:t>
            </w:r>
            <w:r>
              <w:br/>
            </w:r>
            <w:r>
              <w:rPr>
                <w:color w:val="000000"/>
                <w:sz w:val="21"/>
              </w:rPr>
              <w:t>12. ▲网络同传：出厂自带BIOS版还原卡，支持系统自动还原、同时支持GPT分区和MBR分区、自动修改IP和计算机名、硬盘保护、网络同传、增量拷贝、断点续传、远程唤醒、远程重启、远程锁定、远程关机、千兆网络传输速度V9.0版本最大可以达到10GB/分钟或以上（百兆网络平均传输速度2GB/分钟）、支持多硬盘、可以从底层控制U盘和光驱等设备的使用；支持加密传输；</w:t>
            </w:r>
          </w:p>
          <w:p>
            <w:pPr>
              <w:jc w:val="both"/>
            </w:pPr>
            <w:r>
              <w:rPr>
                <w:color w:val="000000"/>
                <w:sz w:val="21"/>
              </w:rPr>
              <w:t>13.</w:t>
            </w:r>
            <w:r>
              <w:rPr>
                <w:color w:val="000000"/>
                <w:sz w:val="21"/>
              </w:rPr>
              <w:t>机箱和电源</w:t>
            </w:r>
            <w:r>
              <w:rPr>
                <w:color w:val="000000"/>
                <w:sz w:val="21"/>
              </w:rPr>
              <w:t>:</w:t>
            </w:r>
            <w:r>
              <w:rPr>
                <w:color w:val="000000"/>
                <w:sz w:val="21"/>
              </w:rPr>
              <w:t>不低于</w:t>
            </w:r>
            <w:r>
              <w:rPr>
                <w:color w:val="000000"/>
                <w:sz w:val="21"/>
              </w:rPr>
              <w:t>180</w:t>
            </w:r>
            <w:r>
              <w:rPr>
                <w:color w:val="000000"/>
                <w:sz w:val="21"/>
              </w:rPr>
              <w:t>瓦特，开关电源不低于</w:t>
            </w:r>
            <w:r>
              <w:rPr>
                <w:color w:val="000000"/>
                <w:sz w:val="21"/>
              </w:rPr>
              <w:t>88%</w:t>
            </w:r>
            <w:r>
              <w:rPr>
                <w:color w:val="000000"/>
                <w:sz w:val="21"/>
              </w:rPr>
              <w:t>典型效率，电源可扩展</w:t>
            </w:r>
            <w:r>
              <w:rPr>
                <w:color w:val="000000"/>
                <w:sz w:val="21"/>
              </w:rPr>
              <w:t>500W</w:t>
            </w:r>
            <w:r>
              <w:rPr>
                <w:color w:val="000000"/>
                <w:sz w:val="21"/>
              </w:rPr>
              <w:t>电源方便扩展升级独立显卡；机箱不小于</w:t>
            </w:r>
            <w:r>
              <w:rPr>
                <w:color w:val="000000"/>
                <w:sz w:val="21"/>
              </w:rPr>
              <w:t>15L,</w:t>
            </w:r>
            <w:r>
              <w:rPr>
                <w:color w:val="000000"/>
                <w:sz w:val="21"/>
              </w:rPr>
              <w:t>机箱电源与主机须同一品牌，免工具开启机箱面板，前置</w:t>
            </w:r>
            <w:r>
              <w:rPr>
                <w:color w:val="000000"/>
                <w:sz w:val="21"/>
              </w:rPr>
              <w:t>LED</w:t>
            </w:r>
            <w:r>
              <w:rPr>
                <w:color w:val="000000"/>
                <w:sz w:val="21"/>
              </w:rPr>
              <w:t>灯侦错告警系统，前置</w:t>
            </w:r>
            <w:r>
              <w:rPr>
                <w:color w:val="000000"/>
                <w:sz w:val="21"/>
              </w:rPr>
              <w:t>I/O</w:t>
            </w:r>
            <w:r>
              <w:rPr>
                <w:color w:val="000000"/>
                <w:sz w:val="21"/>
              </w:rPr>
              <w:t>，前置面板电源开关</w:t>
            </w:r>
            <w:r>
              <w:rPr>
                <w:color w:val="000000"/>
                <w:sz w:val="21"/>
              </w:rPr>
              <w:t>,</w:t>
            </w:r>
            <w:r>
              <w:rPr>
                <w:color w:val="000000"/>
                <w:sz w:val="21"/>
              </w:rPr>
              <w:t>机箱后部原厂自带</w:t>
            </w:r>
            <w:r>
              <w:rPr>
                <w:color w:val="000000"/>
                <w:sz w:val="21"/>
              </w:rPr>
              <w:t>1</w:t>
            </w:r>
            <w:r>
              <w:rPr>
                <w:color w:val="000000"/>
                <w:sz w:val="21"/>
              </w:rPr>
              <w:t>个线缆锁孔和</w:t>
            </w:r>
            <w:r>
              <w:rPr>
                <w:color w:val="000000"/>
                <w:sz w:val="21"/>
              </w:rPr>
              <w:t>1</w:t>
            </w:r>
            <w:r>
              <w:rPr>
                <w:color w:val="000000"/>
                <w:sz w:val="21"/>
              </w:rPr>
              <w:t xml:space="preserve">个挂锁锁孔的机箱锁定方式；   </w:t>
            </w:r>
            <w:r>
              <w:br/>
            </w:r>
            <w:r>
              <w:rPr>
                <w:color w:val="000000"/>
                <w:sz w:val="21"/>
              </w:rPr>
              <w:t>14. ▲</w:t>
            </w:r>
            <w:r>
              <w:rPr>
                <w:color w:val="000000"/>
                <w:sz w:val="21"/>
              </w:rPr>
              <w:t>显示器</w:t>
            </w:r>
            <w:r>
              <w:rPr>
                <w:color w:val="000000"/>
                <w:sz w:val="21"/>
              </w:rPr>
              <w:t>: ≥21.5"</w:t>
            </w:r>
            <w:r>
              <w:rPr>
                <w:color w:val="000000"/>
                <w:sz w:val="21"/>
              </w:rPr>
              <w:t>宽屏</w:t>
            </w:r>
            <w:r>
              <w:rPr>
                <w:color w:val="000000"/>
                <w:sz w:val="21"/>
              </w:rPr>
              <w:t>LED</w:t>
            </w:r>
            <w:r>
              <w:rPr>
                <w:color w:val="000000"/>
                <w:sz w:val="21"/>
              </w:rPr>
              <w:t>背光液晶显示器或以上</w:t>
            </w:r>
            <w:r>
              <w:rPr>
                <w:color w:val="000000"/>
                <w:sz w:val="21"/>
              </w:rPr>
              <w:t>,</w:t>
            </w:r>
            <w:r>
              <w:rPr>
                <w:color w:val="000000"/>
                <w:sz w:val="21"/>
              </w:rPr>
              <w:t>分辨率：</w:t>
            </w:r>
            <w:r>
              <w:rPr>
                <w:color w:val="000000"/>
                <w:sz w:val="21"/>
              </w:rPr>
              <w:t>≥1920x1080</w:t>
            </w:r>
            <w:r>
              <w:rPr>
                <w:color w:val="000000"/>
                <w:sz w:val="21"/>
              </w:rPr>
              <w:t>，具备</w:t>
            </w:r>
            <w:r>
              <w:rPr>
                <w:color w:val="000000"/>
                <w:sz w:val="21"/>
              </w:rPr>
              <w:t>“</w:t>
            </w:r>
            <w:r>
              <w:rPr>
                <w:color w:val="000000"/>
                <w:sz w:val="21"/>
              </w:rPr>
              <w:t>优化显示器的寿命</w:t>
            </w:r>
            <w:r>
              <w:rPr>
                <w:color w:val="000000"/>
                <w:sz w:val="21"/>
              </w:rPr>
              <w:t>”</w:t>
            </w:r>
            <w:r>
              <w:rPr>
                <w:color w:val="000000"/>
                <w:sz w:val="21"/>
              </w:rPr>
              <w:t>技术</w:t>
            </w:r>
            <w:r>
              <w:rPr>
                <w:b/>
                <w:color w:val="000000"/>
                <w:sz w:val="21"/>
              </w:rPr>
              <w:t>（提供制造厂商盖章的技术说明书或认证</w:t>
            </w:r>
            <w:r>
              <w:rPr>
                <w:b/>
                <w:color w:val="000000"/>
                <w:sz w:val="21"/>
              </w:rPr>
              <w:t>)</w:t>
            </w:r>
            <w:r>
              <w:br/>
            </w:r>
            <w:r>
              <w:rPr>
                <w:color w:val="000000"/>
                <w:sz w:val="21"/>
              </w:rPr>
              <w:t>15.</w:t>
            </w:r>
            <w:r>
              <w:rPr>
                <w:color w:val="000000"/>
                <w:sz w:val="21"/>
              </w:rPr>
              <w:t>整机质量：</w:t>
            </w:r>
            <w:r>
              <w:br/>
            </w:r>
            <w:r>
              <w:rPr>
                <w:color w:val="000000"/>
                <w:sz w:val="21"/>
              </w:rPr>
              <w:t>▲</w:t>
            </w:r>
            <w:r>
              <w:rPr>
                <w:color w:val="000000"/>
                <w:sz w:val="21"/>
              </w:rPr>
              <w:t>安全性：整机通过</w:t>
            </w:r>
            <w:r>
              <w:rPr>
                <w:color w:val="000000"/>
                <w:sz w:val="21"/>
              </w:rPr>
              <w:t>CNAS</w:t>
            </w:r>
            <w:r>
              <w:rPr>
                <w:color w:val="000000"/>
                <w:sz w:val="21"/>
              </w:rPr>
              <w:t>认可的颠震试验（中国军用标准）的检测，加速度</w:t>
            </w:r>
            <w:r>
              <w:rPr>
                <w:color w:val="000000"/>
                <w:sz w:val="21"/>
              </w:rPr>
              <w:t>7g</w:t>
            </w:r>
            <w:r>
              <w:rPr>
                <w:color w:val="000000"/>
                <w:sz w:val="21"/>
              </w:rPr>
              <w:t>，重复频率为</w:t>
            </w:r>
            <w:r>
              <w:rPr>
                <w:color w:val="000000"/>
                <w:sz w:val="21"/>
              </w:rPr>
              <w:t>30rpm</w:t>
            </w:r>
            <w:r>
              <w:rPr>
                <w:color w:val="000000"/>
                <w:sz w:val="21"/>
              </w:rPr>
              <w:t>，脉冲持续时间＞</w:t>
            </w:r>
            <w:r>
              <w:rPr>
                <w:color w:val="000000"/>
                <w:sz w:val="21"/>
              </w:rPr>
              <w:t>16ms</w:t>
            </w:r>
            <w:r>
              <w:rPr>
                <w:color w:val="000000"/>
                <w:sz w:val="21"/>
              </w:rPr>
              <w:t>，冲击</w:t>
            </w:r>
            <w:r>
              <w:rPr>
                <w:color w:val="000000"/>
                <w:sz w:val="21"/>
              </w:rPr>
              <w:t>1000</w:t>
            </w:r>
            <w:r>
              <w:rPr>
                <w:color w:val="000000"/>
                <w:sz w:val="21"/>
              </w:rPr>
              <w:t>次，产品可以正常工作。具备</w:t>
            </w:r>
            <w:r>
              <w:rPr>
                <w:color w:val="000000"/>
                <w:sz w:val="21"/>
              </w:rPr>
              <w:t>"</w:t>
            </w:r>
            <w:r>
              <w:rPr>
                <w:color w:val="000000"/>
                <w:sz w:val="21"/>
              </w:rPr>
              <w:t>计算机系统优化及带多向风扇的计算机系统</w:t>
            </w:r>
            <w:r>
              <w:rPr>
                <w:color w:val="000000"/>
                <w:sz w:val="21"/>
              </w:rPr>
              <w:t>"</w:t>
            </w:r>
            <w:r>
              <w:rPr>
                <w:color w:val="000000"/>
                <w:sz w:val="21"/>
              </w:rPr>
              <w:t>技术，辐射骚扰</w:t>
            </w:r>
            <w:r>
              <w:rPr>
                <w:color w:val="000000"/>
                <w:sz w:val="21"/>
              </w:rPr>
              <w:t>B</w:t>
            </w:r>
            <w:r>
              <w:rPr>
                <w:color w:val="000000"/>
                <w:sz w:val="21"/>
              </w:rPr>
              <w:t>级测试小于标准限值</w:t>
            </w:r>
            <w:r>
              <w:rPr>
                <w:color w:val="000000"/>
                <w:sz w:val="21"/>
              </w:rPr>
              <w:t>7db</w:t>
            </w:r>
            <w:r>
              <w:rPr>
                <w:color w:val="000000"/>
                <w:sz w:val="21"/>
              </w:rPr>
              <w:t>；国家电子计算机质检中心认可的平均无故障</w:t>
            </w:r>
            <w:r>
              <w:rPr>
                <w:color w:val="000000"/>
                <w:sz w:val="21"/>
              </w:rPr>
              <w:t>M1</w:t>
            </w:r>
            <w:r>
              <w:rPr>
                <w:color w:val="000000"/>
                <w:sz w:val="21"/>
              </w:rPr>
              <w:t>值不低于</w:t>
            </w:r>
            <w:r>
              <w:rPr>
                <w:color w:val="000000"/>
                <w:sz w:val="21"/>
              </w:rPr>
              <w:t>105</w:t>
            </w:r>
            <w:r>
              <w:rPr>
                <w:color w:val="000000"/>
                <w:sz w:val="21"/>
              </w:rPr>
              <w:t>万小时证书</w:t>
            </w:r>
            <w:r>
              <w:rPr>
                <w:b/>
                <w:color w:val="000000"/>
                <w:sz w:val="21"/>
              </w:rPr>
              <w:t>(</w:t>
            </w:r>
            <w:r>
              <w:rPr>
                <w:b/>
                <w:color w:val="000000"/>
                <w:sz w:val="21"/>
              </w:rPr>
              <w:t>以上认证在投标时需提供制造厂商盖章的第三方检测机构出具的技术说明书或认证</w:t>
            </w:r>
            <w:r>
              <w:rPr>
                <w:b/>
                <w:color w:val="000000"/>
                <w:sz w:val="21"/>
              </w:rPr>
              <w:t>)</w:t>
            </w:r>
          </w:p>
        </w:tc>
      </w:tr>
      <w:tr>
        <w:tc>
          <w:tcPr>
            <w:tcW w:type="dxa" w:w="2076"/>
          </w:tcPr>
          <w:p/>
        </w:tc>
        <w:tc>
          <w:tcPr>
            <w:tcW w:type="dxa" w:w="415"/>
          </w:tcPr>
          <w:p>
            <w:r>
              <w:rPr/>
              <w:t>2</w:t>
            </w:r>
          </w:p>
        </w:tc>
        <w:tc>
          <w:tcPr>
            <w:tcW w:type="dxa" w:w="5814"/>
          </w:tcPr>
          <w:p>
            <w:pPr>
              <w:jc w:val="left"/>
            </w:pPr>
            <w:r>
              <w:rPr>
                <w:color w:val="000000"/>
                <w:sz w:val="21"/>
              </w:rPr>
              <w:t>高考耳麦</w:t>
            </w:r>
          </w:p>
          <w:p>
            <w:pPr>
              <w:jc w:val="both"/>
            </w:pPr>
            <w:r>
              <w:rPr>
                <w:color w:val="000000"/>
                <w:sz w:val="21"/>
              </w:rPr>
              <w:t>头戴式耳麦，动圈耳机，驱动单元</w:t>
            </w:r>
            <w:r>
              <w:rPr>
                <w:color w:val="000000"/>
                <w:sz w:val="21"/>
              </w:rPr>
              <w:t>40mm</w:t>
            </w:r>
            <w:r>
              <w:rPr>
                <w:color w:val="000000"/>
                <w:sz w:val="21"/>
              </w:rPr>
              <w:t>；频响范围：</w:t>
            </w:r>
            <w:r>
              <w:rPr>
                <w:color w:val="000000"/>
                <w:sz w:val="21"/>
              </w:rPr>
              <w:t>20Hz-20KHz</w:t>
            </w:r>
            <w:r>
              <w:rPr>
                <w:color w:val="000000"/>
                <w:sz w:val="21"/>
              </w:rPr>
              <w:t>；灵敏度：</w:t>
            </w:r>
            <w:r>
              <w:rPr>
                <w:color w:val="000000"/>
                <w:sz w:val="21"/>
              </w:rPr>
              <w:t>98±4db</w:t>
            </w:r>
            <w:r>
              <w:rPr>
                <w:color w:val="000000"/>
                <w:sz w:val="21"/>
              </w:rPr>
              <w:t>；额定功率：</w:t>
            </w:r>
            <w:r>
              <w:rPr>
                <w:color w:val="000000"/>
                <w:sz w:val="21"/>
              </w:rPr>
              <w:t>30mW</w:t>
            </w:r>
            <w:r>
              <w:rPr>
                <w:color w:val="000000"/>
                <w:sz w:val="21"/>
              </w:rPr>
              <w:t>；产品阻抗：</w:t>
            </w:r>
            <w:r>
              <w:rPr>
                <w:color w:val="000000"/>
                <w:sz w:val="21"/>
              </w:rPr>
              <w:t>32±15%</w:t>
            </w:r>
            <w:r>
              <w:rPr>
                <w:color w:val="000000"/>
                <w:sz w:val="21"/>
              </w:rPr>
              <w:t>；</w:t>
            </w:r>
            <w:r>
              <w:rPr>
                <w:color w:val="000000"/>
                <w:sz w:val="21"/>
              </w:rPr>
              <w:t>USB2.0</w:t>
            </w:r>
            <w:r>
              <w:rPr>
                <w:color w:val="000000"/>
                <w:sz w:val="21"/>
              </w:rPr>
              <w:t>及以上音频接口。单指向降噪麦克风，麦克风：</w:t>
            </w:r>
            <w:r>
              <w:rPr>
                <w:color w:val="000000"/>
                <w:sz w:val="21"/>
              </w:rPr>
              <w:t>9.7*6mm</w:t>
            </w:r>
            <w:r>
              <w:rPr>
                <w:color w:val="000000"/>
                <w:sz w:val="21"/>
              </w:rPr>
              <w:t>，频响范围：</w:t>
            </w:r>
            <w:r>
              <w:rPr>
                <w:color w:val="000000"/>
                <w:sz w:val="21"/>
              </w:rPr>
              <w:t>100-10000Hz</w:t>
            </w:r>
            <w:r>
              <w:rPr>
                <w:color w:val="000000"/>
                <w:sz w:val="21"/>
              </w:rPr>
              <w:t>；耳机线不小于</w:t>
            </w:r>
            <w:r>
              <w:rPr>
                <w:color w:val="000000"/>
                <w:sz w:val="21"/>
              </w:rPr>
              <w:t>1.2M</w:t>
            </w:r>
            <w:r>
              <w:rPr>
                <w:color w:val="000000"/>
                <w:sz w:val="21"/>
              </w:rPr>
              <w:t>。</w:t>
            </w:r>
          </w:p>
        </w:tc>
      </w:tr>
      <w:tr>
        <w:tc>
          <w:tcPr>
            <w:tcW w:type="dxa" w:w="2076"/>
          </w:tcPr>
          <w:p/>
        </w:tc>
        <w:tc>
          <w:tcPr>
            <w:tcW w:type="dxa" w:w="415"/>
          </w:tcPr>
          <w:p>
            <w:r>
              <w:rPr/>
              <w:t>3</w:t>
            </w:r>
          </w:p>
        </w:tc>
        <w:tc>
          <w:tcPr>
            <w:tcW w:type="dxa" w:w="5814"/>
          </w:tcPr>
          <w:p>
            <w:pPr>
              <w:jc w:val="left"/>
            </w:pPr>
            <w:r>
              <w:rPr>
                <w:color w:val="000000"/>
                <w:sz w:val="21"/>
              </w:rPr>
              <w:t>24口接入交换机</w:t>
            </w:r>
          </w:p>
          <w:p>
            <w:pPr>
              <w:jc w:val="both"/>
            </w:pPr>
            <w:r>
              <w:rPr>
                <w:color w:val="000000"/>
                <w:sz w:val="21"/>
              </w:rPr>
              <w:t>头戴式耳麦，动圈耳机，驱动单元</w:t>
            </w:r>
            <w:r>
              <w:rPr>
                <w:color w:val="000000"/>
                <w:sz w:val="21"/>
              </w:rPr>
              <w:t>40mm</w:t>
            </w:r>
            <w:r>
              <w:rPr>
                <w:color w:val="000000"/>
                <w:sz w:val="21"/>
              </w:rPr>
              <w:t>；频响范围：</w:t>
            </w:r>
            <w:r>
              <w:rPr>
                <w:color w:val="000000"/>
                <w:sz w:val="21"/>
              </w:rPr>
              <w:t>20Hz-20KHz</w:t>
            </w:r>
            <w:r>
              <w:rPr>
                <w:color w:val="000000"/>
                <w:sz w:val="21"/>
              </w:rPr>
              <w:t>；灵敏度：</w:t>
            </w:r>
            <w:r>
              <w:rPr>
                <w:color w:val="000000"/>
                <w:sz w:val="21"/>
              </w:rPr>
              <w:t>98±4db</w:t>
            </w:r>
            <w:r>
              <w:rPr>
                <w:color w:val="000000"/>
                <w:sz w:val="21"/>
              </w:rPr>
              <w:t>；额定功率：</w:t>
            </w:r>
            <w:r>
              <w:rPr>
                <w:color w:val="000000"/>
                <w:sz w:val="21"/>
              </w:rPr>
              <w:t>30mW</w:t>
            </w:r>
            <w:r>
              <w:rPr>
                <w:color w:val="000000"/>
                <w:sz w:val="21"/>
              </w:rPr>
              <w:t>；产品阻抗：</w:t>
            </w:r>
            <w:r>
              <w:rPr>
                <w:color w:val="000000"/>
                <w:sz w:val="21"/>
              </w:rPr>
              <w:t>32±15%</w:t>
            </w:r>
            <w:r>
              <w:rPr>
                <w:color w:val="000000"/>
                <w:sz w:val="21"/>
              </w:rPr>
              <w:t>；</w:t>
            </w:r>
            <w:r>
              <w:rPr>
                <w:color w:val="000000"/>
                <w:sz w:val="21"/>
              </w:rPr>
              <w:t>USB2.0</w:t>
            </w:r>
            <w:r>
              <w:rPr>
                <w:color w:val="000000"/>
                <w:sz w:val="21"/>
              </w:rPr>
              <w:t>及以上音频接口。单指向降噪麦克风，麦克风：</w:t>
            </w:r>
            <w:r>
              <w:rPr>
                <w:color w:val="000000"/>
                <w:sz w:val="21"/>
              </w:rPr>
              <w:t>9.7*6mm</w:t>
            </w:r>
            <w:r>
              <w:rPr>
                <w:color w:val="000000"/>
                <w:sz w:val="21"/>
              </w:rPr>
              <w:t>，频响范围：</w:t>
            </w:r>
            <w:r>
              <w:rPr>
                <w:color w:val="000000"/>
                <w:sz w:val="21"/>
              </w:rPr>
              <w:t>100-10000Hz</w:t>
            </w:r>
            <w:r>
              <w:rPr>
                <w:color w:val="000000"/>
                <w:sz w:val="21"/>
              </w:rPr>
              <w:t>；耳机线不小于</w:t>
            </w:r>
            <w:r>
              <w:rPr>
                <w:color w:val="000000"/>
                <w:sz w:val="21"/>
              </w:rPr>
              <w:t>1.2M</w:t>
            </w:r>
            <w:r>
              <w:rPr>
                <w:color w:val="000000"/>
                <w:sz w:val="21"/>
              </w:rPr>
              <w:t>。</w:t>
            </w:r>
          </w:p>
        </w:tc>
      </w:tr>
      <w:tr>
        <w:tc>
          <w:tcPr>
            <w:tcW w:type="dxa" w:w="2076"/>
          </w:tcPr>
          <w:p/>
        </w:tc>
        <w:tc>
          <w:tcPr>
            <w:tcW w:type="dxa" w:w="415"/>
          </w:tcPr>
          <w:p>
            <w:r>
              <w:rPr/>
              <w:t>4</w:t>
            </w:r>
          </w:p>
        </w:tc>
        <w:tc>
          <w:tcPr>
            <w:tcW w:type="dxa" w:w="5814"/>
          </w:tcPr>
          <w:p>
            <w:pPr>
              <w:jc w:val="left"/>
            </w:pPr>
            <w:r>
              <w:rPr>
                <w:color w:val="000000"/>
                <w:sz w:val="21"/>
              </w:rPr>
              <w:t>42U机柜</w:t>
            </w:r>
          </w:p>
          <w:p>
            <w:pPr>
              <w:jc w:val="both"/>
            </w:pPr>
            <w:r>
              <w:rPr>
                <w:color w:val="000000"/>
                <w:sz w:val="21"/>
              </w:rPr>
              <w:t>42U</w:t>
            </w:r>
            <w:r>
              <w:rPr>
                <w:color w:val="000000"/>
                <w:sz w:val="21"/>
              </w:rPr>
              <w:t>侧开式豪华机标准机柜</w:t>
            </w:r>
          </w:p>
        </w:tc>
      </w:tr>
      <w:tr>
        <w:tc>
          <w:tcPr>
            <w:tcW w:type="dxa" w:w="2076"/>
          </w:tcPr>
          <w:p/>
        </w:tc>
        <w:tc>
          <w:tcPr>
            <w:tcW w:type="dxa" w:w="415"/>
          </w:tcPr>
          <w:p>
            <w:r>
              <w:rPr/>
              <w:t>5</w:t>
            </w:r>
          </w:p>
        </w:tc>
        <w:tc>
          <w:tcPr>
            <w:tcW w:type="dxa" w:w="5814"/>
          </w:tcPr>
          <w:p>
            <w:pPr>
              <w:jc w:val="left"/>
            </w:pPr>
            <w:r>
              <w:rPr>
                <w:color w:val="000000"/>
                <w:sz w:val="21"/>
              </w:rPr>
              <w:t>教师桌、椅</w:t>
            </w:r>
          </w:p>
          <w:p>
            <w:pPr>
              <w:jc w:val="left"/>
            </w:pPr>
            <w:r>
              <w:rPr>
                <w:color w:val="000000"/>
                <w:sz w:val="21"/>
              </w:rPr>
              <w:t>1.</w:t>
            </w:r>
            <w:r>
              <w:rPr>
                <w:color w:val="000000"/>
                <w:sz w:val="21"/>
              </w:rPr>
              <w:t>生态板实木桌，环保材质包边，尺寸</w:t>
            </w:r>
            <w:r>
              <w:rPr>
                <w:color w:val="000000"/>
                <w:sz w:val="21"/>
              </w:rPr>
              <w:t>：</w:t>
            </w:r>
            <w:r>
              <w:rPr>
                <w:color w:val="000000"/>
                <w:sz w:val="21"/>
              </w:rPr>
              <w:t>≥</w:t>
            </w:r>
            <w:r>
              <w:rPr>
                <w:color w:val="000000"/>
                <w:sz w:val="21"/>
              </w:rPr>
              <w:t>120*75*60cm，板面厚度</w:t>
            </w:r>
            <w:r>
              <w:rPr>
                <w:color w:val="000000"/>
                <w:sz w:val="21"/>
              </w:rPr>
              <w:t>≥</w:t>
            </w:r>
            <w:r>
              <w:rPr>
                <w:color w:val="000000"/>
                <w:sz w:val="21"/>
              </w:rPr>
              <w:t>1.8cm。不锈钢静音导轨，高强度承重，PUR封边。</w:t>
            </w:r>
          </w:p>
          <w:p>
            <w:pPr>
              <w:jc w:val="both"/>
            </w:pPr>
            <w:r>
              <w:rPr>
                <w:color w:val="000000"/>
                <w:sz w:val="21"/>
              </w:rPr>
              <w:t>2.</w:t>
            </w:r>
            <w:r>
              <w:rPr>
                <w:color w:val="000000"/>
                <w:sz w:val="21"/>
              </w:rPr>
              <w:t>椅子尺寸</w:t>
            </w:r>
            <w:r>
              <w:rPr>
                <w:color w:val="000000"/>
                <w:sz w:val="21"/>
              </w:rPr>
              <w:t>：</w:t>
            </w:r>
            <w:r>
              <w:rPr>
                <w:color w:val="000000"/>
                <w:sz w:val="21"/>
              </w:rPr>
              <w:t>≥33*24*45cm</w:t>
            </w:r>
            <w:r>
              <w:rPr>
                <w:color w:val="000000"/>
                <w:sz w:val="21"/>
              </w:rPr>
              <w:t>，环保材质包边。</w:t>
            </w:r>
          </w:p>
        </w:tc>
      </w:tr>
      <w:tr>
        <w:tc>
          <w:tcPr>
            <w:tcW w:type="dxa" w:w="2076"/>
          </w:tcPr>
          <w:p/>
        </w:tc>
        <w:tc>
          <w:tcPr>
            <w:tcW w:type="dxa" w:w="415"/>
          </w:tcPr>
          <w:p>
            <w:r>
              <w:rPr/>
              <w:t>6</w:t>
            </w:r>
          </w:p>
        </w:tc>
        <w:tc>
          <w:tcPr>
            <w:tcW w:type="dxa" w:w="5814"/>
          </w:tcPr>
          <w:p>
            <w:pPr>
              <w:jc w:val="left"/>
            </w:pPr>
            <w:r>
              <w:rPr>
                <w:color w:val="000000"/>
                <w:sz w:val="21"/>
              </w:rPr>
              <w:t>单人学生机电脑桌</w:t>
            </w:r>
          </w:p>
          <w:p>
            <w:pPr>
              <w:jc w:val="both"/>
            </w:pPr>
            <w:r>
              <w:rPr>
                <w:color w:val="000000"/>
                <w:sz w:val="21"/>
              </w:rPr>
              <w:t>每个机位设置前、左、右隔音挡板，前挡板位透明材质亚克力，左右挡板不透明生态板材质，挡板顶端距离地面</w:t>
            </w:r>
            <w:r>
              <w:rPr>
                <w:color w:val="000000"/>
                <w:sz w:val="21"/>
              </w:rPr>
              <w:t>1.2</w:t>
            </w:r>
            <w:r>
              <w:rPr>
                <w:color w:val="000000"/>
                <w:sz w:val="21"/>
              </w:rPr>
              <w:t>米，台面尺寸：≥</w:t>
            </w:r>
            <w:r>
              <w:rPr>
                <w:color w:val="000000"/>
                <w:sz w:val="21"/>
              </w:rPr>
              <w:t>70*60*75cm</w:t>
            </w:r>
            <w:r>
              <w:rPr>
                <w:color w:val="000000"/>
                <w:sz w:val="21"/>
              </w:rPr>
              <w:t>，面板厚度≥</w:t>
            </w:r>
            <w:r>
              <w:rPr>
                <w:color w:val="000000"/>
                <w:sz w:val="21"/>
              </w:rPr>
              <w:t>1.8cm</w:t>
            </w:r>
            <w:r>
              <w:rPr>
                <w:color w:val="000000"/>
                <w:sz w:val="21"/>
              </w:rPr>
              <w:t>，台面为生态板环保</w:t>
            </w:r>
            <w:r>
              <w:rPr>
                <w:color w:val="000000"/>
                <w:sz w:val="21"/>
              </w:rPr>
              <w:t>E0</w:t>
            </w:r>
            <w:r>
              <w:rPr>
                <w:color w:val="000000"/>
                <w:sz w:val="21"/>
              </w:rPr>
              <w:t>级材质，环保材质包边。不锈钢静音导轨，高强度承重，</w:t>
            </w:r>
            <w:r>
              <w:rPr>
                <w:color w:val="000000"/>
                <w:sz w:val="21"/>
              </w:rPr>
              <w:t>PUR</w:t>
            </w:r>
            <w:r>
              <w:rPr>
                <w:color w:val="000000"/>
                <w:sz w:val="21"/>
              </w:rPr>
              <w:t>封边。</w:t>
            </w:r>
          </w:p>
        </w:tc>
      </w:tr>
      <w:tr>
        <w:tc>
          <w:tcPr>
            <w:tcW w:type="dxa" w:w="2076"/>
          </w:tcPr>
          <w:p/>
        </w:tc>
        <w:tc>
          <w:tcPr>
            <w:tcW w:type="dxa" w:w="415"/>
          </w:tcPr>
          <w:p>
            <w:r>
              <w:rPr/>
              <w:t>7</w:t>
            </w:r>
          </w:p>
        </w:tc>
        <w:tc>
          <w:tcPr>
            <w:tcW w:type="dxa" w:w="5814"/>
          </w:tcPr>
          <w:p>
            <w:pPr>
              <w:jc w:val="left"/>
            </w:pPr>
            <w:r>
              <w:rPr>
                <w:sz w:val="21"/>
              </w:rPr>
              <w:t>学生椅</w:t>
            </w:r>
          </w:p>
          <w:p>
            <w:pPr>
              <w:jc w:val="both"/>
            </w:pPr>
            <w:r>
              <w:rPr>
                <w:sz w:val="21"/>
              </w:rPr>
              <w:t>方凳尺寸：</w:t>
            </w:r>
            <w:r>
              <w:rPr>
                <w:sz w:val="21"/>
              </w:rPr>
              <w:t>≥33CM*24CM*45CM</w:t>
            </w:r>
            <w:r>
              <w:rPr>
                <w:sz w:val="21"/>
              </w:rPr>
              <w:t>，生态环保实木面板，木框架。</w:t>
            </w:r>
          </w:p>
        </w:tc>
      </w:tr>
      <w:tr>
        <w:tc>
          <w:tcPr>
            <w:tcW w:type="dxa" w:w="2076"/>
          </w:tcPr>
          <w:p/>
        </w:tc>
        <w:tc>
          <w:tcPr>
            <w:tcW w:type="dxa" w:w="415"/>
          </w:tcPr>
          <w:p>
            <w:r>
              <w:rPr/>
              <w:t>8</w:t>
            </w:r>
          </w:p>
        </w:tc>
        <w:tc>
          <w:tcPr>
            <w:tcW w:type="dxa" w:w="5814"/>
          </w:tcPr>
          <w:p>
            <w:pPr>
              <w:jc w:val="left"/>
            </w:pPr>
            <w:r>
              <w:rPr>
                <w:sz w:val="21"/>
              </w:rPr>
              <w:t>冷暖变频天花机</w:t>
            </w:r>
          </w:p>
          <w:p>
            <w:pPr>
              <w:jc w:val="both"/>
            </w:pPr>
            <w:r>
              <w:rPr>
                <w:sz w:val="21"/>
              </w:rPr>
              <w:t>1.</w:t>
            </w:r>
            <w:r>
              <w:rPr>
                <w:sz w:val="21"/>
              </w:rPr>
              <w:t>冷暖类型：冷暖</w:t>
            </w:r>
            <w:r>
              <w:br/>
            </w:r>
            <w:r>
              <w:rPr>
                <w:sz w:val="21"/>
              </w:rPr>
              <w:t>2.</w:t>
            </w:r>
            <w:r>
              <w:rPr>
                <w:sz w:val="21"/>
              </w:rPr>
              <w:t>定频</w:t>
            </w:r>
            <w:r>
              <w:rPr>
                <w:sz w:val="21"/>
              </w:rPr>
              <w:t>/</w:t>
            </w:r>
            <w:r>
              <w:rPr>
                <w:sz w:val="21"/>
              </w:rPr>
              <w:t>变频 变频</w:t>
            </w:r>
            <w:r>
              <w:br/>
            </w:r>
            <w:r>
              <w:rPr>
                <w:sz w:val="21"/>
              </w:rPr>
              <w:t>3.</w:t>
            </w:r>
            <w:r>
              <w:rPr>
                <w:sz w:val="21"/>
              </w:rPr>
              <w:t>匹数 正≥</w:t>
            </w:r>
            <w:r>
              <w:rPr>
                <w:sz w:val="21"/>
              </w:rPr>
              <w:t>3P</w:t>
            </w:r>
            <w:r>
              <w:br/>
            </w:r>
            <w:r>
              <w:rPr>
                <w:sz w:val="21"/>
              </w:rPr>
              <w:t>4.</w:t>
            </w:r>
            <w:r>
              <w:rPr>
                <w:sz w:val="21"/>
              </w:rPr>
              <w:t>制冷量</w:t>
            </w:r>
            <w:r>
              <w:rPr>
                <w:sz w:val="21"/>
              </w:rPr>
              <w:t>(W) 7220(1800~8500)</w:t>
            </w:r>
            <w:r>
              <w:rPr>
                <w:sz w:val="21"/>
              </w:rPr>
              <w:t>；制热量</w:t>
            </w:r>
            <w:r>
              <w:rPr>
                <w:sz w:val="21"/>
              </w:rPr>
              <w:t>(W) 9250(2100~11000)</w:t>
            </w:r>
          </w:p>
        </w:tc>
      </w:tr>
      <w:tr>
        <w:tc>
          <w:tcPr>
            <w:tcW w:type="dxa" w:w="2076"/>
          </w:tcPr>
          <w:p/>
        </w:tc>
        <w:tc>
          <w:tcPr>
            <w:tcW w:type="dxa" w:w="415"/>
          </w:tcPr>
          <w:p>
            <w:r>
              <w:rPr/>
              <w:t>9</w:t>
            </w:r>
          </w:p>
        </w:tc>
        <w:tc>
          <w:tcPr>
            <w:tcW w:type="dxa" w:w="5814"/>
          </w:tcPr>
          <w:p>
            <w:pPr>
              <w:jc w:val="left"/>
            </w:pPr>
            <w:r>
              <w:rPr>
                <w:sz w:val="21"/>
              </w:rPr>
              <w:t>天花吊顶</w:t>
            </w:r>
          </w:p>
          <w:p>
            <w:pPr>
              <w:jc w:val="both"/>
            </w:pPr>
            <w:r>
              <w:rPr>
                <w:sz w:val="21"/>
              </w:rPr>
              <w:t>铝合金吊</w:t>
            </w:r>
            <w:r>
              <w:rPr>
                <w:sz w:val="21"/>
              </w:rPr>
              <w:t>顶</w:t>
            </w:r>
            <w:r>
              <w:rPr>
                <w:sz w:val="21"/>
              </w:rPr>
              <w:t>60*60cm</w:t>
            </w:r>
            <w:r>
              <w:rPr>
                <w:sz w:val="21"/>
              </w:rPr>
              <w:t>；</w:t>
            </w:r>
            <w:r>
              <w:rPr>
                <w:sz w:val="21"/>
              </w:rPr>
              <w:t>龙骨制作框架；（含灯具照明，照明</w:t>
            </w:r>
            <w:r>
              <w:rPr>
                <w:sz w:val="21"/>
              </w:rPr>
              <w:t>需</w:t>
            </w:r>
            <w:r>
              <w:rPr>
                <w:sz w:val="21"/>
              </w:rPr>
              <w:t>符合广东省地方标准《中小学校教室照明技术规范》）</w:t>
            </w:r>
          </w:p>
        </w:tc>
      </w:tr>
      <w:tr>
        <w:tc>
          <w:tcPr>
            <w:tcW w:type="dxa" w:w="2076"/>
          </w:tcPr>
          <w:p>
            <w:r>
              <w:rPr/>
              <w:t>▲</w:t>
            </w:r>
          </w:p>
        </w:tc>
        <w:tc>
          <w:tcPr>
            <w:tcW w:type="dxa" w:w="415"/>
          </w:tcPr>
          <w:p>
            <w:r>
              <w:rPr/>
              <w:t>10</w:t>
            </w:r>
          </w:p>
        </w:tc>
        <w:tc>
          <w:tcPr>
            <w:tcW w:type="dxa" w:w="5814"/>
          </w:tcPr>
          <w:p>
            <w:pPr>
              <w:jc w:val="left"/>
            </w:pPr>
            <w:r>
              <w:rPr>
                <w:color w:val="000000"/>
                <w:sz w:val="21"/>
              </w:rPr>
              <w:t>语音室机架式服务器</w:t>
            </w:r>
          </w:p>
          <w:p>
            <w:pPr>
              <w:jc w:val="both"/>
            </w:pPr>
            <w:r>
              <w:rPr>
                <w:color w:val="000000"/>
                <w:sz w:val="21"/>
              </w:rPr>
              <w:t>▲≥3206R(1.9GHz/8-core/85W)/1*16G/2*600G 10K/P408i-a 2GB/4</w:t>
            </w:r>
            <w:r>
              <w:rPr>
                <w:color w:val="000000"/>
                <w:sz w:val="21"/>
              </w:rPr>
              <w:t>口千兆网卡</w:t>
            </w:r>
            <w:r>
              <w:rPr>
                <w:color w:val="000000"/>
                <w:sz w:val="21"/>
              </w:rPr>
              <w:t>/DVD-RW/2*500W/2U SERVER</w:t>
            </w:r>
          </w:p>
        </w:tc>
      </w:tr>
      <w:tr>
        <w:tc>
          <w:tcPr>
            <w:tcW w:type="dxa" w:w="2076"/>
          </w:tcPr>
          <w:p/>
        </w:tc>
        <w:tc>
          <w:tcPr>
            <w:tcW w:type="dxa" w:w="415"/>
          </w:tcPr>
          <w:p>
            <w:r>
              <w:rPr/>
              <w:t>11</w:t>
            </w:r>
          </w:p>
        </w:tc>
        <w:tc>
          <w:tcPr>
            <w:tcW w:type="dxa" w:w="5814"/>
          </w:tcPr>
          <w:p>
            <w:pPr>
              <w:jc w:val="left"/>
            </w:pPr>
            <w:r>
              <w:rPr>
                <w:sz w:val="21"/>
              </w:rPr>
              <w:t>激光</w:t>
            </w:r>
            <w:r>
              <w:rPr>
                <w:sz w:val="21"/>
              </w:rPr>
              <w:t>A4打印机</w:t>
            </w:r>
          </w:p>
          <w:p>
            <w:pPr>
              <w:jc w:val="both"/>
            </w:pPr>
            <w:r>
              <w:rPr>
                <w:sz w:val="21"/>
              </w:rPr>
              <w:t>1.</w:t>
            </w:r>
            <w:r>
              <w:rPr>
                <w:sz w:val="21"/>
              </w:rPr>
              <w:t>双面黑白激光</w:t>
            </w:r>
            <w:r>
              <w:rPr>
                <w:sz w:val="21"/>
              </w:rPr>
              <w:t>A4</w:t>
            </w:r>
            <w:r>
              <w:rPr>
                <w:sz w:val="21"/>
              </w:rPr>
              <w:t>打印机，具备：打印</w:t>
            </w:r>
            <w:r>
              <w:rPr>
                <w:sz w:val="21"/>
              </w:rPr>
              <w:t>/</w:t>
            </w:r>
            <w:r>
              <w:rPr>
                <w:sz w:val="21"/>
              </w:rPr>
              <w:t>复印</w:t>
            </w:r>
            <w:r>
              <w:rPr>
                <w:sz w:val="21"/>
              </w:rPr>
              <w:t>/</w:t>
            </w:r>
            <w:r>
              <w:rPr>
                <w:sz w:val="21"/>
              </w:rPr>
              <w:t>扫描、自动双面打印功能</w:t>
            </w:r>
            <w:r>
              <w:rPr>
                <w:sz w:val="21"/>
              </w:rPr>
              <w:t>。</w:t>
            </w:r>
            <w:r>
              <w:br/>
            </w:r>
            <w:r>
              <w:rPr>
                <w:sz w:val="21"/>
              </w:rPr>
              <w:t>2.</w:t>
            </w:r>
            <w:r>
              <w:rPr>
                <w:sz w:val="21"/>
              </w:rPr>
              <w:t>最大处理幅面：</w:t>
            </w:r>
            <w:r>
              <w:rPr>
                <w:sz w:val="21"/>
              </w:rPr>
              <w:t>A4</w:t>
            </w:r>
            <w:r>
              <w:br/>
            </w:r>
            <w:r>
              <w:rPr>
                <w:sz w:val="21"/>
              </w:rPr>
              <w:t>3.</w:t>
            </w:r>
            <w:r>
              <w:rPr>
                <w:sz w:val="21"/>
              </w:rPr>
              <w:t>进纸盒容量</w:t>
            </w:r>
            <w:r>
              <w:rPr>
                <w:sz w:val="21"/>
              </w:rPr>
              <w:t>：不少于</w:t>
            </w:r>
            <w:r>
              <w:rPr>
                <w:sz w:val="21"/>
              </w:rPr>
              <w:t>250</w:t>
            </w:r>
            <w:r>
              <w:rPr>
                <w:sz w:val="21"/>
              </w:rPr>
              <w:t>页</w:t>
            </w:r>
            <w:r>
              <w:br/>
            </w:r>
            <w:r>
              <w:rPr>
                <w:sz w:val="21"/>
              </w:rPr>
              <w:t>4.</w:t>
            </w:r>
            <w:r>
              <w:rPr>
                <w:sz w:val="21"/>
              </w:rPr>
              <w:t>打印速度：单面：</w:t>
            </w:r>
            <w:r>
              <w:rPr>
                <w:sz w:val="21"/>
              </w:rPr>
              <w:t>22ppm</w:t>
            </w:r>
            <w:r>
              <w:rPr>
                <w:sz w:val="21"/>
              </w:rPr>
              <w:t>，双面：</w:t>
            </w:r>
            <w:r>
              <w:rPr>
                <w:sz w:val="21"/>
              </w:rPr>
              <w:t>14ppm</w:t>
            </w:r>
            <w:r>
              <w:br/>
            </w:r>
            <w:r>
              <w:rPr>
                <w:sz w:val="21"/>
              </w:rPr>
              <w:t>5.</w:t>
            </w:r>
            <w:r>
              <w:rPr>
                <w:sz w:val="21"/>
              </w:rPr>
              <w:t>打印分辨率：</w:t>
            </w:r>
            <w:r>
              <w:rPr>
                <w:sz w:val="21"/>
              </w:rPr>
              <w:t>600×600dpi</w:t>
            </w:r>
            <w:r>
              <w:br/>
            </w:r>
            <w:r>
              <w:rPr>
                <w:sz w:val="21"/>
              </w:rPr>
              <w:t>6.</w:t>
            </w:r>
            <w:r>
              <w:rPr>
                <w:sz w:val="21"/>
              </w:rPr>
              <w:t>月打印量：</w:t>
            </w:r>
            <w:r>
              <w:rPr>
                <w:sz w:val="21"/>
              </w:rPr>
              <w:t>不小于</w:t>
            </w:r>
            <w:r>
              <w:rPr>
                <w:sz w:val="21"/>
              </w:rPr>
              <w:t>25000</w:t>
            </w:r>
            <w:r>
              <w:rPr>
                <w:sz w:val="21"/>
              </w:rPr>
              <w:t>页</w:t>
            </w:r>
          </w:p>
        </w:tc>
      </w:tr>
      <w:tr>
        <w:tc>
          <w:tcPr>
            <w:tcW w:type="dxa" w:w="2076"/>
          </w:tcPr>
          <w:p/>
        </w:tc>
        <w:tc>
          <w:tcPr>
            <w:tcW w:type="dxa" w:w="415"/>
          </w:tcPr>
          <w:p>
            <w:r>
              <w:rPr/>
              <w:t>12</w:t>
            </w:r>
          </w:p>
        </w:tc>
        <w:tc>
          <w:tcPr>
            <w:tcW w:type="dxa" w:w="5814"/>
          </w:tcPr>
          <w:p>
            <w:pPr>
              <w:jc w:val="left"/>
            </w:pPr>
            <w:r>
              <w:rPr>
                <w:sz w:val="21"/>
              </w:rPr>
              <w:t>网线</w:t>
            </w:r>
          </w:p>
          <w:p>
            <w:pPr>
              <w:jc w:val="both"/>
            </w:pPr>
            <w:r>
              <w:rPr>
                <w:sz w:val="21"/>
              </w:rPr>
              <w:t>国标六类网线</w:t>
            </w:r>
          </w:p>
        </w:tc>
      </w:tr>
      <w:tr>
        <w:tc>
          <w:tcPr>
            <w:tcW w:type="dxa" w:w="2076"/>
          </w:tcPr>
          <w:p/>
        </w:tc>
        <w:tc>
          <w:tcPr>
            <w:tcW w:type="dxa" w:w="415"/>
          </w:tcPr>
          <w:p>
            <w:r>
              <w:rPr/>
              <w:t>13</w:t>
            </w:r>
          </w:p>
        </w:tc>
        <w:tc>
          <w:tcPr>
            <w:tcW w:type="dxa" w:w="5814"/>
          </w:tcPr>
          <w:p>
            <w:pPr>
              <w:jc w:val="left"/>
            </w:pPr>
            <w:r>
              <w:rPr>
                <w:sz w:val="21"/>
              </w:rPr>
              <w:t>电线</w:t>
            </w:r>
          </w:p>
          <w:p>
            <w:pPr>
              <w:jc w:val="both"/>
            </w:pPr>
            <w:r>
              <w:rPr>
                <w:sz w:val="21"/>
              </w:rPr>
              <w:t>主线国标</w:t>
            </w:r>
            <w:r>
              <w:rPr>
                <w:sz w:val="21"/>
              </w:rPr>
              <w:t>4</w:t>
            </w:r>
            <w:r>
              <w:rPr>
                <w:sz w:val="21"/>
              </w:rPr>
              <w:t>平纯铜多股铜线，</w:t>
            </w:r>
            <w:r>
              <w:rPr>
                <w:sz w:val="21"/>
              </w:rPr>
              <w:t>100</w:t>
            </w:r>
            <w:r>
              <w:rPr>
                <w:sz w:val="21"/>
              </w:rPr>
              <w:t>米</w:t>
            </w:r>
            <w:r>
              <w:rPr>
                <w:sz w:val="21"/>
              </w:rPr>
              <w:t>/</w:t>
            </w:r>
            <w:r>
              <w:rPr>
                <w:sz w:val="21"/>
              </w:rPr>
              <w:t>卷</w:t>
            </w:r>
          </w:p>
        </w:tc>
      </w:tr>
      <w:tr>
        <w:tc>
          <w:tcPr>
            <w:tcW w:type="dxa" w:w="2076"/>
          </w:tcPr>
          <w:p/>
        </w:tc>
        <w:tc>
          <w:tcPr>
            <w:tcW w:type="dxa" w:w="415"/>
          </w:tcPr>
          <w:p>
            <w:r>
              <w:rPr/>
              <w:t>14</w:t>
            </w:r>
          </w:p>
        </w:tc>
        <w:tc>
          <w:tcPr>
            <w:tcW w:type="dxa" w:w="5814"/>
          </w:tcPr>
          <w:p>
            <w:pPr>
              <w:jc w:val="left"/>
            </w:pPr>
            <w:r>
              <w:rPr>
                <w:sz w:val="21"/>
              </w:rPr>
              <w:t>电脑室门</w:t>
            </w:r>
          </w:p>
          <w:p>
            <w:pPr>
              <w:jc w:val="left"/>
            </w:pPr>
            <w:r>
              <w:rPr>
                <w:sz w:val="21"/>
              </w:rPr>
              <w:t>1.</w:t>
            </w:r>
            <w:r>
              <w:rPr>
                <w:sz w:val="21"/>
              </w:rPr>
              <w:t>尺寸：</w:t>
            </w:r>
            <w:r>
              <w:rPr>
                <w:sz w:val="21"/>
              </w:rPr>
              <w:t>≥880*2050*20cm，</w:t>
            </w:r>
          </w:p>
          <w:p>
            <w:pPr>
              <w:jc w:val="left"/>
            </w:pPr>
            <w:r>
              <w:rPr>
                <w:sz w:val="21"/>
              </w:rPr>
              <w:t>2.</w:t>
            </w:r>
            <w:r>
              <w:rPr>
                <w:sz w:val="21"/>
              </w:rPr>
              <w:t>门扇厚度</w:t>
            </w:r>
            <w:r>
              <w:rPr>
                <w:sz w:val="21"/>
              </w:rPr>
              <w:t>6cm，门框厚度0.8mm，铰链为镀锌门铰，0.8钢材质门槛，B级指纹锁。</w:t>
            </w:r>
          </w:p>
          <w:p>
            <w:pPr>
              <w:jc w:val="both"/>
            </w:pPr>
            <w:r>
              <w:rPr>
                <w:sz w:val="21"/>
              </w:rPr>
              <w:t>3.</w:t>
            </w:r>
            <w:r>
              <w:rPr>
                <w:sz w:val="21"/>
              </w:rPr>
              <w:t>材质：不锈钢材质</w:t>
            </w:r>
          </w:p>
        </w:tc>
      </w:tr>
      <w:tr>
        <w:tc>
          <w:tcPr>
            <w:tcW w:type="dxa" w:w="2076"/>
          </w:tcPr>
          <w:p/>
        </w:tc>
        <w:tc>
          <w:tcPr>
            <w:tcW w:type="dxa" w:w="415"/>
          </w:tcPr>
          <w:p>
            <w:r>
              <w:rPr/>
              <w:t>15</w:t>
            </w:r>
          </w:p>
        </w:tc>
        <w:tc>
          <w:tcPr>
            <w:tcW w:type="dxa" w:w="5814"/>
          </w:tcPr>
          <w:p>
            <w:pPr>
              <w:jc w:val="left"/>
            </w:pPr>
            <w:r>
              <w:rPr>
                <w:sz w:val="21"/>
              </w:rPr>
              <w:t>静电地板</w:t>
            </w:r>
          </w:p>
          <w:p>
            <w:pPr>
              <w:jc w:val="both"/>
            </w:pPr>
            <w:r>
              <w:rPr>
                <w:sz w:val="21"/>
              </w:rPr>
              <w:t>地板规格：</w:t>
            </w:r>
            <w:r>
              <w:rPr>
                <w:sz w:val="21"/>
              </w:rPr>
              <w:t>60*60cm</w:t>
            </w:r>
            <w:r>
              <w:rPr>
                <w:sz w:val="21"/>
              </w:rPr>
              <w:t>静电地板，支架</w:t>
            </w:r>
            <w:r>
              <w:rPr>
                <w:sz w:val="21"/>
              </w:rPr>
              <w:t>3.3/</w:t>
            </w:r>
            <w:r>
              <w:rPr>
                <w:sz w:val="21"/>
              </w:rPr>
              <w:t>㎡，横梁</w:t>
            </w:r>
            <w:r>
              <w:rPr>
                <w:sz w:val="21"/>
              </w:rPr>
              <w:t>5.2</w:t>
            </w:r>
            <w:r>
              <w:rPr>
                <w:sz w:val="21"/>
              </w:rPr>
              <w:t>㎡，螺丝</w:t>
            </w:r>
            <w:r>
              <w:rPr>
                <w:sz w:val="21"/>
              </w:rPr>
              <w:t>10.4</w:t>
            </w:r>
            <w:r>
              <w:rPr>
                <w:sz w:val="21"/>
              </w:rPr>
              <w:t>㎡，面层：</w:t>
            </w:r>
            <w:r>
              <w:rPr>
                <w:sz w:val="21"/>
              </w:rPr>
              <w:t>0.7HPLM</w:t>
            </w:r>
            <w:r>
              <w:rPr>
                <w:sz w:val="21"/>
              </w:rPr>
              <w:t>面（防火面）</w:t>
            </w:r>
          </w:p>
        </w:tc>
      </w:tr>
      <w:tr>
        <w:tc>
          <w:tcPr>
            <w:tcW w:type="dxa" w:w="2076"/>
          </w:tcPr>
          <w:p/>
        </w:tc>
        <w:tc>
          <w:tcPr>
            <w:tcW w:type="dxa" w:w="415"/>
          </w:tcPr>
          <w:p>
            <w:r>
              <w:rPr/>
              <w:t>16</w:t>
            </w:r>
          </w:p>
        </w:tc>
        <w:tc>
          <w:tcPr>
            <w:tcW w:type="dxa" w:w="5814"/>
          </w:tcPr>
          <w:p>
            <w:pPr>
              <w:jc w:val="left"/>
            </w:pPr>
            <w:r>
              <w:rPr>
                <w:sz w:val="21"/>
              </w:rPr>
              <w:t>固态移动硬盘</w:t>
            </w:r>
          </w:p>
          <w:p>
            <w:pPr>
              <w:jc w:val="both"/>
            </w:pPr>
            <w:r>
              <w:rPr>
                <w:sz w:val="21"/>
              </w:rPr>
              <w:t>不小于</w:t>
            </w:r>
            <w:r>
              <w:rPr>
                <w:sz w:val="21"/>
              </w:rPr>
              <w:t>1000G SSD</w:t>
            </w:r>
            <w:r>
              <w:rPr>
                <w:sz w:val="21"/>
              </w:rPr>
              <w:t>固态移动硬盘，</w:t>
            </w:r>
            <w:r>
              <w:rPr>
                <w:sz w:val="21"/>
              </w:rPr>
              <w:t>USB3.0</w:t>
            </w:r>
            <w:r>
              <w:rPr>
                <w:sz w:val="21"/>
              </w:rPr>
              <w:t>接口，</w:t>
            </w:r>
            <w:r>
              <w:rPr>
                <w:sz w:val="21"/>
              </w:rPr>
              <w:t>MLC</w:t>
            </w:r>
            <w:r>
              <w:rPr>
                <w:sz w:val="21"/>
              </w:rPr>
              <w:t>或</w:t>
            </w:r>
            <w:r>
              <w:rPr>
                <w:sz w:val="21"/>
              </w:rPr>
              <w:t>TLC</w:t>
            </w:r>
            <w:r>
              <w:rPr>
                <w:sz w:val="21"/>
              </w:rPr>
              <w:t>颗粒，三年以上质保</w:t>
            </w:r>
          </w:p>
        </w:tc>
      </w:tr>
      <w:tr>
        <w:tc>
          <w:tcPr>
            <w:tcW w:type="dxa" w:w="2076"/>
          </w:tcPr>
          <w:p/>
        </w:tc>
        <w:tc>
          <w:tcPr>
            <w:tcW w:type="dxa" w:w="415"/>
          </w:tcPr>
          <w:p>
            <w:r>
              <w:rPr/>
              <w:t>17</w:t>
            </w:r>
          </w:p>
        </w:tc>
        <w:tc>
          <w:tcPr>
            <w:tcW w:type="dxa" w:w="5814"/>
          </w:tcPr>
          <w:p>
            <w:pPr>
              <w:jc w:val="both"/>
            </w:pPr>
          </w:p>
          <w:p>
            <w:pPr>
              <w:jc w:val="left"/>
            </w:pPr>
            <w:r>
              <w:rPr>
                <w:sz w:val="21"/>
              </w:rPr>
              <w:t>UPS电源</w:t>
            </w:r>
          </w:p>
          <w:p>
            <w:pPr>
              <w:jc w:val="both"/>
            </w:pPr>
            <w:r>
              <w:rPr>
                <w:sz w:val="21"/>
              </w:rPr>
              <w:t>1.3KVA/2700W,</w:t>
            </w:r>
            <w:r>
              <w:rPr>
                <w:sz w:val="21"/>
              </w:rPr>
              <w:t>双变换在线式设计</w:t>
            </w:r>
            <w:r>
              <w:rPr>
                <w:sz w:val="21"/>
              </w:rPr>
              <w:t>,</w:t>
            </w:r>
            <w:r>
              <w:rPr>
                <w:sz w:val="21"/>
              </w:rPr>
              <w:t>单进单出，主机；</w:t>
            </w:r>
            <w:r>
              <w:rPr>
                <w:sz w:val="21"/>
              </w:rPr>
              <w:t>8</w:t>
            </w:r>
            <w:r>
              <w:rPr>
                <w:sz w:val="21"/>
              </w:rPr>
              <w:t>个容量</w:t>
            </w:r>
            <w:r>
              <w:rPr>
                <w:sz w:val="21"/>
              </w:rPr>
              <w:t>: 12V38H</w:t>
            </w:r>
            <w:r>
              <w:rPr>
                <w:sz w:val="21"/>
              </w:rPr>
              <w:t>阀控式铅酸免维护电池；</w:t>
            </w:r>
            <w:r>
              <w:br/>
            </w:r>
            <w:r>
              <w:rPr>
                <w:sz w:val="21"/>
              </w:rPr>
              <w:t>2.</w:t>
            </w:r>
            <w:r>
              <w:rPr>
                <w:sz w:val="21"/>
              </w:rPr>
              <w:t>采用输入功率因数校正（</w:t>
            </w:r>
            <w:r>
              <w:rPr>
                <w:sz w:val="21"/>
              </w:rPr>
              <w:t>PFC</w:t>
            </w:r>
            <w:r>
              <w:rPr>
                <w:sz w:val="21"/>
              </w:rPr>
              <w:t>）技术，输入功因高达</w:t>
            </w:r>
            <w:r>
              <w:rPr>
                <w:sz w:val="21"/>
              </w:rPr>
              <w:t>0.99</w:t>
            </w:r>
            <w:r>
              <w:rPr>
                <w:sz w:val="21"/>
              </w:rPr>
              <w:t>；</w:t>
            </w:r>
            <w:r>
              <w:br/>
            </w:r>
            <w:r>
              <w:rPr>
                <w:sz w:val="21"/>
              </w:rPr>
              <w:t>3.</w:t>
            </w:r>
            <w:r>
              <w:rPr>
                <w:sz w:val="21"/>
              </w:rPr>
              <w:t>数字化控制，控制系统更加稳定可靠；</w:t>
            </w:r>
            <w:r>
              <w:br/>
            </w:r>
            <w:r>
              <w:rPr>
                <w:sz w:val="21"/>
              </w:rPr>
              <w:t>4.</w:t>
            </w:r>
            <w:r>
              <w:rPr>
                <w:sz w:val="21"/>
              </w:rPr>
              <w:t>用户可设定充电电流，恒流、恒压和浮充充电模式可自动平滑切换；</w:t>
            </w:r>
            <w:r>
              <w:br/>
            </w:r>
            <w:r>
              <w:rPr>
                <w:sz w:val="21"/>
              </w:rPr>
              <w:t>5.</w:t>
            </w:r>
            <w:r>
              <w:rPr>
                <w:sz w:val="21"/>
              </w:rPr>
              <w:t>输出过载、输出短路，逆变器过温、电池欠压预警和电池过充电保护功能；切断电后不小于</w:t>
            </w:r>
            <w:r>
              <w:rPr>
                <w:sz w:val="21"/>
              </w:rPr>
              <w:t>30</w:t>
            </w:r>
            <w:r>
              <w:rPr>
                <w:sz w:val="21"/>
              </w:rPr>
              <w:t>分钟备用时间。</w:t>
            </w:r>
          </w:p>
          <w:p>
            <w:pPr>
              <w:jc w:val="both"/>
            </w:pPr>
          </w:p>
        </w:tc>
      </w:tr>
      <w:tr>
        <w:tc>
          <w:tcPr>
            <w:tcW w:type="dxa" w:w="2076"/>
          </w:tcPr>
          <w:p/>
        </w:tc>
        <w:tc>
          <w:tcPr>
            <w:tcW w:type="dxa" w:w="415"/>
          </w:tcPr>
          <w:p>
            <w:r>
              <w:rPr/>
              <w:t>18</w:t>
            </w:r>
          </w:p>
        </w:tc>
        <w:tc>
          <w:tcPr>
            <w:tcW w:type="dxa" w:w="5814"/>
          </w:tcPr>
          <w:p>
            <w:pPr>
              <w:jc w:val="left"/>
            </w:pPr>
            <w:r>
              <w:rPr>
                <w:sz w:val="21"/>
              </w:rPr>
              <w:t>一体化有源蓝牙音箱</w:t>
            </w:r>
          </w:p>
          <w:p>
            <w:pPr>
              <w:jc w:val="left"/>
            </w:pPr>
            <w:r>
              <w:rPr>
                <w:sz w:val="21"/>
              </w:rPr>
              <w:t>1</w:t>
            </w:r>
            <w:r>
              <w:rPr>
                <w:sz w:val="21"/>
              </w:rPr>
              <w:t>.</w:t>
            </w:r>
            <w:r>
              <w:rPr>
                <w:sz w:val="21"/>
              </w:rPr>
              <w:t>话筒：无线工作频段：</w:t>
            </w:r>
            <w:r>
              <w:rPr>
                <w:sz w:val="21"/>
              </w:rPr>
              <w:t>2402~2480MHz；</w:t>
            </w:r>
          </w:p>
          <w:p>
            <w:pPr>
              <w:jc w:val="left"/>
            </w:pPr>
            <w:r>
              <w:rPr>
                <w:sz w:val="21"/>
              </w:rPr>
              <w:t>2.</w:t>
            </w:r>
            <w:r>
              <w:rPr>
                <w:sz w:val="21"/>
              </w:rPr>
              <w:t>扬声系统构成：主副箱各</w:t>
            </w:r>
            <w:r>
              <w:rPr>
                <w:sz w:val="21"/>
              </w:rPr>
              <w:t>1只；</w:t>
            </w:r>
          </w:p>
          <w:p>
            <w:pPr>
              <w:jc w:val="left"/>
            </w:pPr>
            <w:r>
              <w:rPr>
                <w:sz w:val="21"/>
              </w:rPr>
              <w:t>3.</w:t>
            </w:r>
            <w:r>
              <w:rPr>
                <w:sz w:val="21"/>
              </w:rPr>
              <w:t>额定功率：</w:t>
            </w:r>
            <w:r>
              <w:rPr>
                <w:sz w:val="21"/>
              </w:rPr>
              <w:t>50W；额定阻抗：4Ω音箱配置：5.5寸低音喇叭一只、3寸高音一只；</w:t>
            </w:r>
          </w:p>
          <w:p>
            <w:pPr>
              <w:jc w:val="left"/>
            </w:pPr>
            <w:r>
              <w:rPr>
                <w:sz w:val="21"/>
              </w:rPr>
              <w:t>4.</w:t>
            </w:r>
            <w:r>
              <w:rPr>
                <w:sz w:val="21"/>
              </w:rPr>
              <w:t>分频器：</w:t>
            </w:r>
            <w:r>
              <w:rPr>
                <w:sz w:val="21"/>
              </w:rPr>
              <w:t>1.8KHz；最大声压级：98dB；</w:t>
            </w:r>
          </w:p>
          <w:p>
            <w:pPr>
              <w:jc w:val="both"/>
            </w:pPr>
            <w:r>
              <w:rPr>
                <w:sz w:val="21"/>
              </w:rPr>
              <w:t>5.</w:t>
            </w:r>
            <w:r>
              <w:rPr>
                <w:sz w:val="21"/>
              </w:rPr>
              <w:t>无线接收：内置式无线接收模块；</w:t>
            </w:r>
          </w:p>
        </w:tc>
      </w:tr>
      <w:tr>
        <w:tc>
          <w:tcPr>
            <w:tcW w:type="dxa" w:w="2076"/>
          </w:tcPr>
          <w:p>
            <w:r>
              <w:rPr/>
              <w:t>▲</w:t>
            </w:r>
          </w:p>
        </w:tc>
        <w:tc>
          <w:tcPr>
            <w:tcW w:type="dxa" w:w="415"/>
          </w:tcPr>
          <w:p>
            <w:r>
              <w:rPr/>
              <w:t>19</w:t>
            </w:r>
          </w:p>
        </w:tc>
        <w:tc>
          <w:tcPr>
            <w:tcW w:type="dxa" w:w="5814"/>
          </w:tcPr>
          <w:p>
            <w:pPr>
              <w:jc w:val="left"/>
            </w:pPr>
            <w:r>
              <w:rPr>
                <w:sz w:val="21"/>
              </w:rPr>
              <w:t>教学一体机</w:t>
            </w:r>
          </w:p>
          <w:p>
            <w:pPr>
              <w:jc w:val="both"/>
            </w:pPr>
            <w:r>
              <w:rPr>
                <w:color w:val="000000"/>
                <w:sz w:val="21"/>
              </w:rPr>
              <w:t>（</w:t>
            </w:r>
            <w:r>
              <w:rPr>
                <w:color w:val="000000"/>
                <w:sz w:val="21"/>
              </w:rPr>
              <w:t>一</w:t>
            </w:r>
            <w:r>
              <w:rPr>
                <w:color w:val="000000"/>
                <w:sz w:val="21"/>
              </w:rPr>
              <w:t>）</w:t>
            </w:r>
            <w:r>
              <w:rPr>
                <w:color w:val="000000"/>
                <w:sz w:val="21"/>
              </w:rPr>
              <w:t>屏体硬件要求</w:t>
            </w:r>
            <w:r>
              <w:br/>
            </w:r>
            <w:r>
              <w:rPr>
                <w:color w:val="000000"/>
                <w:sz w:val="21"/>
              </w:rPr>
              <w:t>1.▲</w:t>
            </w:r>
            <w:r>
              <w:rPr>
                <w:color w:val="000000"/>
                <w:sz w:val="21"/>
              </w:rPr>
              <w:t>整机前面板采用不小于</w:t>
            </w:r>
            <w:r>
              <w:rPr>
                <w:color w:val="000000"/>
                <w:sz w:val="21"/>
              </w:rPr>
              <w:t>86</w:t>
            </w:r>
            <w:r>
              <w:rPr>
                <w:color w:val="000000"/>
                <w:sz w:val="21"/>
              </w:rPr>
              <w:t>英寸的防眩光钢化玻璃材质，屏幕显示灰度分辨等级达到</w:t>
            </w:r>
            <w:r>
              <w:rPr>
                <w:color w:val="000000"/>
                <w:sz w:val="21"/>
              </w:rPr>
              <w:t>256</w:t>
            </w:r>
            <w:r>
              <w:rPr>
                <w:color w:val="000000"/>
                <w:sz w:val="21"/>
              </w:rPr>
              <w:t>及以上灰阶，保证画面显示效果细腻。画面显示比例</w:t>
            </w:r>
            <w:r>
              <w:rPr>
                <w:color w:val="000000"/>
                <w:sz w:val="21"/>
              </w:rPr>
              <w:t>16:9</w:t>
            </w:r>
            <w:r>
              <w:rPr>
                <w:color w:val="000000"/>
                <w:sz w:val="21"/>
              </w:rPr>
              <w:t>，分辨率不低于</w:t>
            </w:r>
            <w:r>
              <w:rPr>
                <w:color w:val="000000"/>
                <w:sz w:val="21"/>
              </w:rPr>
              <w:t>3840*2160</w:t>
            </w:r>
            <w:r>
              <w:rPr>
                <w:color w:val="000000"/>
                <w:sz w:val="21"/>
              </w:rPr>
              <w:t>，玻璃表面硬度</w:t>
            </w:r>
            <w:r>
              <w:rPr>
                <w:color w:val="000000"/>
                <w:sz w:val="21"/>
              </w:rPr>
              <w:t>≥9H</w:t>
            </w:r>
            <w:r>
              <w:rPr>
                <w:color w:val="000000"/>
                <w:sz w:val="21"/>
              </w:rPr>
              <w:t>。</w:t>
            </w:r>
            <w:r>
              <w:br/>
            </w:r>
            <w:r>
              <w:rPr>
                <w:color w:val="000000"/>
                <w:sz w:val="21"/>
              </w:rPr>
              <w:t>2.▲整机内置扬声器采用缝隙发声技术，喇叭采用槽式开口设计，不大于5.8mm，整机前面板更加美观。</w:t>
            </w:r>
            <w:r>
              <w:rPr>
                <w:b/>
                <w:color w:val="000000"/>
                <w:sz w:val="21"/>
              </w:rPr>
              <w:t>（提供第三方检测机构出具的功能检测报告扫描件，要求内容能体现满足上述参数要求）</w:t>
            </w:r>
          </w:p>
          <w:p>
            <w:pPr>
              <w:jc w:val="left"/>
            </w:pPr>
            <w:r>
              <w:rPr>
                <w:color w:val="000000"/>
                <w:sz w:val="21"/>
              </w:rPr>
              <w:t>3.整机无需外接无线网卡，在Windows系统下可实现Wi-Fi无线上网连接、AP无线热点发射和BT蓝牙连接功能，Wi-Fi制式支持IEEE 802.11 a/b/g/n/ac/ax；支持版本Wi-Fi6，支持蓝牙Bluetooth 5.2标准，固件版本号HCI11.20/LMP11.20，保证手机与设备连接通畅。</w:t>
            </w:r>
          </w:p>
          <w:p>
            <w:pPr>
              <w:jc w:val="both"/>
            </w:pPr>
            <w:r>
              <w:rPr>
                <w:color w:val="000000"/>
                <w:sz w:val="21"/>
              </w:rPr>
              <w:t>4.整机内置非独立外扩展的阵列麦克风，拾音孔数量≥4个，教室音频采集半径≥</w:t>
            </w:r>
            <w:r>
              <w:rPr>
                <w:color w:val="000000"/>
                <w:sz w:val="21"/>
              </w:rPr>
              <w:t>12</w:t>
            </w:r>
            <w:r>
              <w:rPr>
                <w:color w:val="000000"/>
                <w:sz w:val="21"/>
              </w:rPr>
              <w:t>米。</w:t>
            </w:r>
          </w:p>
          <w:p>
            <w:pPr>
              <w:jc w:val="both"/>
            </w:pPr>
            <w:r>
              <w:rPr>
                <w:color w:val="000000"/>
                <w:sz w:val="21"/>
              </w:rPr>
              <w:t>5.▲整机内置2.2声道扬声器，位于设备上边框，顶置朝前发声，2个前朝向高音扬声器≥10W，2个上朝向中低音扬声器≥20W，额定总功率≥60W。</w:t>
            </w:r>
            <w:r>
              <w:rPr>
                <w:b/>
                <w:color w:val="000000"/>
                <w:sz w:val="21"/>
              </w:rPr>
              <w:t>（需提供第三方检测机构出具的功能检测报告扫描件，要求内容能体现满足上述参数要求）</w:t>
            </w:r>
          </w:p>
          <w:p>
            <w:pPr>
              <w:jc w:val="both"/>
            </w:pPr>
            <w:r>
              <w:rPr>
                <w:color w:val="000000"/>
                <w:sz w:val="21"/>
              </w:rPr>
              <w:t>6.▲整机具备至少6个前置按键，方便老师进行开机、关机、调出中控菜单、音量+、音量-、护眼、录屏操作。</w:t>
            </w:r>
            <w:r>
              <w:rPr>
                <w:b/>
                <w:color w:val="000000"/>
                <w:sz w:val="21"/>
              </w:rPr>
              <w:t>（需提供第三方检测机构出具的功能检测报告扫描件，要求内容能体现满足上述参数要求）</w:t>
            </w:r>
          </w:p>
          <w:p>
            <w:pPr>
              <w:jc w:val="both"/>
            </w:pPr>
            <w:r>
              <w:rPr>
                <w:color w:val="000000"/>
                <w:sz w:val="21"/>
              </w:rPr>
              <w:t>7.内置摄像头、麦克风无需外接线材连接，无任何可见外接线材及模块化拼接痕迹，以确保音视频传输稳定且不占用整机设备端口，并避免整机上方具有突起的摄像头模块造成的安装不便。</w:t>
            </w:r>
          </w:p>
          <w:p>
            <w:pPr>
              <w:jc w:val="both"/>
            </w:pPr>
            <w:r>
              <w:rPr>
                <w:color w:val="000000"/>
                <w:sz w:val="21"/>
              </w:rPr>
              <w:t>8.前置Type-C接口，支持通过不带转换装置的外部线缆，实现外接电脑HDMI信号的接入显示，设备支持通过Type-C接口U盘进行文件传输，兼容手机充电。</w:t>
            </w:r>
          </w:p>
          <w:p>
            <w:pPr>
              <w:jc w:val="both"/>
            </w:pPr>
            <w:r>
              <w:rPr>
                <w:color w:val="000000"/>
                <w:sz w:val="21"/>
              </w:rPr>
              <w:t>9.整机采用全金属外壳设计，有效屏蔽内部电路器件辐射；防潮耐盐雾蚀锈，适应多种教学环境。</w:t>
            </w:r>
          </w:p>
          <w:p>
            <w:pPr>
              <w:jc w:val="left"/>
            </w:pPr>
            <w:r>
              <w:rPr>
                <w:color w:val="000000"/>
                <w:sz w:val="21"/>
              </w:rPr>
              <w:t>（</w:t>
            </w:r>
            <w:r>
              <w:rPr>
                <w:color w:val="000000"/>
                <w:sz w:val="21"/>
              </w:rPr>
              <w:t>二</w:t>
            </w:r>
            <w:r>
              <w:rPr>
                <w:color w:val="000000"/>
                <w:sz w:val="21"/>
              </w:rPr>
              <w:t>）</w:t>
            </w:r>
            <w:r>
              <w:rPr>
                <w:color w:val="000000"/>
                <w:sz w:val="21"/>
              </w:rPr>
              <w:t>系统内置功能</w:t>
            </w:r>
            <w:r>
              <w:br/>
            </w:r>
            <w:r>
              <w:rPr>
                <w:color w:val="000000"/>
                <w:sz w:val="21"/>
              </w:rPr>
              <w:t>1</w:t>
            </w:r>
            <w:r>
              <w:rPr>
                <w:color w:val="000000"/>
                <w:sz w:val="21"/>
              </w:rPr>
              <w:t>0</w:t>
            </w:r>
            <w:r>
              <w:rPr>
                <w:color w:val="000000"/>
                <w:sz w:val="21"/>
              </w:rPr>
              <w:t>.▲整机支持纸质护眼模</w:t>
            </w:r>
            <w:r>
              <w:rPr>
                <w:sz w:val="21"/>
              </w:rPr>
              <w:t>式，可以在任意通道任意画面任意软件所有显示内容下实现画面纹理的实时调整；支持纸质纹理：牛皮纸、素描纸、宣纸、水彩纸、水纹纸；支持透明度调节；支持色温调节</w:t>
            </w:r>
            <w:r>
              <w:rPr>
                <w:color w:val="000000"/>
                <w:sz w:val="21"/>
              </w:rPr>
              <w:t>。</w:t>
            </w:r>
            <w:r>
              <w:rPr>
                <w:b/>
                <w:color w:val="000000"/>
                <w:sz w:val="21"/>
              </w:rPr>
              <w:t>（提供第三方检测机构出具的功能检测报告扫描件，要求内容能体现满足上述参数要求）</w:t>
            </w:r>
            <w:r>
              <w:br/>
            </w:r>
            <w:r>
              <w:rPr>
                <w:color w:val="000000"/>
                <w:sz w:val="21"/>
              </w:rPr>
              <w:t>11.</w:t>
            </w:r>
            <w:r>
              <w:rPr>
                <w:color w:val="000000"/>
                <w:sz w:val="21"/>
              </w:rPr>
              <w:t>▲整机内置非独立外扩展的摄像头，拍摄照片像素数≥1300万，摄像头视场角≥135度，用于教师拍摄所需画面以及调取摄像头进行远程巡课，拍摄范围可以涵盖整机距离摄像头垂直法线左右水平距离各不小于4米，左右最边缘深度不小于2.3米范围内，并且支持大于等于10米距离时实现AI识别人像。</w:t>
            </w:r>
            <w:r>
              <w:rPr>
                <w:b/>
                <w:color w:val="000000"/>
                <w:sz w:val="21"/>
              </w:rPr>
              <w:t>（提供第三方检测机构出具的功能检测报告扫描件，要求内容能体现满足上述参数要求）</w:t>
            </w:r>
            <w:r>
              <w:br/>
            </w:r>
            <w:r>
              <w:rPr>
                <w:color w:val="000000"/>
                <w:sz w:val="21"/>
              </w:rPr>
              <w:t>12</w:t>
            </w:r>
            <w:r>
              <w:rPr>
                <w:color w:val="000000"/>
                <w:sz w:val="21"/>
              </w:rPr>
              <w:t>.支持将自定义图片设置为开机画面。</w:t>
            </w:r>
            <w:r>
              <w:br/>
            </w:r>
            <w:r>
              <w:rPr>
                <w:color w:val="000000"/>
                <w:sz w:val="21"/>
              </w:rPr>
              <w:t>13</w:t>
            </w:r>
            <w:r>
              <w:rPr>
                <w:color w:val="000000"/>
                <w:sz w:val="21"/>
              </w:rPr>
              <w:t>.整机设备支持统一互通的</w:t>
            </w:r>
            <w:r>
              <w:rPr>
                <w:sz w:val="21"/>
              </w:rPr>
              <w:t>用户身份认证服务，账号登录后，打开教学白板软件、学生行为评价软件的教学应用工具时无需再次输入账号密码重复登录。</w:t>
            </w:r>
          </w:p>
          <w:p>
            <w:pPr>
              <w:jc w:val="left"/>
            </w:pPr>
            <w:r>
              <w:rPr>
                <w:sz w:val="21"/>
              </w:rPr>
              <w:t>14.整机设备开机启动后，自动进入教学桌面，支持账号登录、退出，自动获取个人云端教学课件列表、并可进入校本资源库。</w:t>
            </w:r>
          </w:p>
          <w:p>
            <w:pPr>
              <w:jc w:val="both"/>
            </w:pPr>
            <w:r>
              <w:rPr>
                <w:color w:val="000000"/>
                <w:sz w:val="21"/>
              </w:rPr>
              <w:t>15.具备摄像头工作指示灯，摄像头运行时，有指示灯提示，以此保障师生隐私安全及课堂的流畅性。</w:t>
            </w:r>
          </w:p>
          <w:p>
            <w:pPr>
              <w:jc w:val="left"/>
            </w:pPr>
            <w:r>
              <w:rPr>
                <w:color w:val="000000"/>
                <w:sz w:val="21"/>
              </w:rPr>
              <w:t>16.▲外接电脑设备通过双头Type-C数据线连接至整机，可调用整机内置的</w:t>
            </w:r>
            <w:r>
              <w:rPr>
                <w:color w:val="000000"/>
                <w:sz w:val="21"/>
              </w:rPr>
              <w:t>摄像头、麦克风、扬声器，可在外接电脑上控制整机拍摄教室画面。</w:t>
            </w:r>
            <w:r>
              <w:rPr>
                <w:b/>
                <w:color w:val="000000"/>
                <w:sz w:val="21"/>
              </w:rPr>
              <w:t>（提供第三方检测机构出具的功能检测报告扫描件，要求内容能体现满足上述参数要求）</w:t>
            </w:r>
            <w:r>
              <w:br/>
            </w:r>
            <w:r>
              <w:rPr>
                <w:color w:val="000000"/>
                <w:sz w:val="21"/>
              </w:rPr>
              <w:t>17.整机内置专业硬件自检维护工具（不接受第三方工具），支持对触摸框、PC模块等模块进行检测，并针对不同模块给出问题原因提示，以支持老师快速的解决问题。</w:t>
            </w:r>
          </w:p>
          <w:p>
            <w:pPr>
              <w:jc w:val="left"/>
            </w:pPr>
            <w:r>
              <w:rPr>
                <w:color w:val="000000"/>
                <w:sz w:val="21"/>
              </w:rPr>
              <w:t>18.当外接电脑设备连接整机且触摸信号连通时，外接电脑设备可直接使用连接整机前置USB端口的翻页笔和无线键鼠，可直接读取整机前置USB接口的移动存储设备数据。</w:t>
            </w:r>
          </w:p>
          <w:p>
            <w:pPr>
              <w:jc w:val="left"/>
            </w:pPr>
            <w:r>
              <w:rPr>
                <w:color w:val="000000"/>
                <w:sz w:val="21"/>
              </w:rPr>
              <w:t>19.整机全通道侧边栏支持在任意通道、页面使用批注小工具进行批注讲解，可切换书写笔颜色、截屏保存批注内容、快速清屏，可根据手与屏幕的接触面积自动调整板擦工具的大小。</w:t>
            </w:r>
          </w:p>
          <w:p>
            <w:pPr>
              <w:jc w:val="left"/>
            </w:pPr>
            <w:r>
              <w:rPr>
                <w:color w:val="000000"/>
                <w:sz w:val="21"/>
              </w:rPr>
              <w:t>（</w:t>
            </w:r>
            <w:r>
              <w:rPr>
                <w:color w:val="000000"/>
                <w:sz w:val="21"/>
              </w:rPr>
              <w:t>三</w:t>
            </w:r>
            <w:r>
              <w:rPr>
                <w:color w:val="000000"/>
                <w:sz w:val="21"/>
              </w:rPr>
              <w:t>）</w:t>
            </w:r>
            <w:r>
              <w:rPr>
                <w:color w:val="000000"/>
                <w:sz w:val="21"/>
              </w:rPr>
              <w:t>插拔式</w:t>
            </w:r>
            <w:r>
              <w:rPr>
                <w:color w:val="000000"/>
                <w:sz w:val="21"/>
              </w:rPr>
              <w:t>OPS模块</w:t>
            </w:r>
          </w:p>
          <w:p>
            <w:pPr>
              <w:jc w:val="left"/>
            </w:pPr>
            <w:r>
              <w:rPr>
                <w:color w:val="000000"/>
                <w:sz w:val="21"/>
              </w:rPr>
              <w:t>20.▲主板采用H410芯片组，搭载Intel 酷睿系列 i5 CPU或以上配置；内存：8GB DDR4笔记本内存或以上配置；硬盘：256GB或以上SSD固态硬盘。</w:t>
            </w:r>
          </w:p>
          <w:p>
            <w:pPr>
              <w:jc w:val="left"/>
            </w:pPr>
            <w:r>
              <w:rPr>
                <w:color w:val="000000"/>
                <w:sz w:val="21"/>
              </w:rPr>
              <w:t>21.模块机身采用热浸镀锌金属材质，采用智能风扇低噪音散热设计,模块主体尺寸≥22cm*17cm*3cm，以预留足够散热空间，确保封闭空间内有效散热。</w:t>
            </w:r>
          </w:p>
          <w:p>
            <w:pPr>
              <w:jc w:val="left"/>
            </w:pPr>
            <w:r>
              <w:rPr>
                <w:color w:val="000000"/>
                <w:sz w:val="21"/>
              </w:rPr>
              <w:t>22.▲采用插拔式OPS模块，具有按压式卡扣，确保PC模块安装固定到位，同时无需工具就可快速拆卸OPS模块。采用针脚数小于等于40 pin万兆级接口，传输速率≥10Gbps。</w:t>
            </w:r>
            <w:r>
              <w:rPr>
                <w:b/>
                <w:color w:val="000000"/>
                <w:sz w:val="21"/>
              </w:rPr>
              <w:t>（提供第三方检测机构出具的功能检测报告扫描件，要求内容能体现满足上述参数要求）</w:t>
            </w:r>
          </w:p>
          <w:p>
            <w:pPr>
              <w:jc w:val="left"/>
            </w:pPr>
            <w:r>
              <w:rPr>
                <w:color w:val="000000"/>
                <w:sz w:val="21"/>
              </w:rPr>
              <w:t>23.PC模块的USB接口</w:t>
            </w:r>
            <w:r>
              <w:rPr>
                <w:sz w:val="21"/>
              </w:rPr>
              <w:t>须为冗余备份接口，在正常使用整机的内置摄像头、内置麦克风功能时，</w:t>
            </w:r>
            <w:r>
              <w:rPr>
                <w:sz w:val="21"/>
              </w:rPr>
              <w:t>USB接口不被占用，确保教师有足够的接口外接存储设备及显示设备。</w:t>
            </w:r>
          </w:p>
          <w:p>
            <w:pPr>
              <w:jc w:val="left"/>
            </w:pPr>
            <w:r>
              <w:rPr>
                <w:sz w:val="21"/>
              </w:rPr>
              <w:t>24.具有独立非外扩展的视频输出接口：≥1路HDMI。具有独立非外扩展的电脑USB接口：≥3路USB。</w:t>
            </w:r>
          </w:p>
          <w:p>
            <w:pPr>
              <w:jc w:val="left"/>
            </w:pPr>
            <w:r>
              <w:rPr>
                <w:sz w:val="21"/>
              </w:rPr>
              <w:t>25.具有标准PC防盗锁孔，防止PC模块被盗。</w:t>
            </w:r>
          </w:p>
          <w:p>
            <w:pPr>
              <w:jc w:val="left"/>
            </w:pPr>
            <w:r>
              <w:rPr>
                <w:sz w:val="21"/>
              </w:rPr>
              <w:t>（</w:t>
            </w:r>
            <w:r>
              <w:rPr>
                <w:sz w:val="21"/>
              </w:rPr>
              <w:t>四</w:t>
            </w:r>
            <w:r>
              <w:rPr>
                <w:sz w:val="21"/>
              </w:rPr>
              <w:t>）</w:t>
            </w:r>
            <w:r>
              <w:rPr>
                <w:sz w:val="21"/>
              </w:rPr>
              <w:t>自带嵌入式系统</w:t>
            </w:r>
          </w:p>
          <w:p>
            <w:pPr>
              <w:jc w:val="left"/>
            </w:pPr>
            <w:r>
              <w:rPr>
                <w:sz w:val="21"/>
              </w:rPr>
              <w:t>26.▲整机内置</w:t>
            </w:r>
            <w:r>
              <w:rPr>
                <w:color w:val="000000"/>
                <w:sz w:val="21"/>
              </w:rPr>
              <w:t>安卓系统版</w:t>
            </w:r>
            <w:r>
              <w:rPr>
                <w:sz w:val="21"/>
              </w:rPr>
              <w:t>本不低于</w:t>
            </w:r>
            <w:r>
              <w:rPr>
                <w:sz w:val="21"/>
              </w:rPr>
              <w:t>Android 11.0，内存≥2GB，存储空间≥8G。</w:t>
            </w:r>
            <w:r>
              <w:rPr>
                <w:b/>
                <w:color w:val="000000"/>
                <w:sz w:val="21"/>
              </w:rPr>
              <w:t>（提供第三方检测机构出具的功能检测报告扫描件，要求内容能体现满足上述参数要求）</w:t>
            </w:r>
          </w:p>
          <w:p>
            <w:pPr>
              <w:jc w:val="left"/>
            </w:pPr>
            <w:r>
              <w:rPr>
                <w:sz w:val="21"/>
              </w:rPr>
              <w:t>27.无PC模块状态下，嵌入式系统内置互动白板支持全局漫游，并能在工具栏中对全局内容进行预览和移动。嵌入式Android操作系统下可实现Windows系统中常用的教学应用功能，包括白板书写、WPS软件使用、网页浏览。</w:t>
            </w:r>
          </w:p>
          <w:p>
            <w:pPr>
              <w:jc w:val="left"/>
            </w:pPr>
            <w:r>
              <w:rPr>
                <w:sz w:val="21"/>
              </w:rPr>
              <w:t>28.无PC状态下，嵌入式系统内置互动白板支持十笔书写及手掌擦除（手掌擦除面积根据手掌与屏幕的接触面大小自动调整），白板书写内容可导出PDF</w:t>
            </w:r>
            <w:r>
              <w:rPr>
                <w:sz w:val="21"/>
              </w:rPr>
              <w:t>、</w:t>
            </w:r>
            <w:r>
              <w:rPr>
                <w:sz w:val="21"/>
              </w:rPr>
              <w:t>IWB以及SVG格式。</w:t>
            </w:r>
          </w:p>
          <w:p>
            <w:pPr>
              <w:jc w:val="left"/>
            </w:pPr>
            <w:r>
              <w:rPr>
                <w:sz w:val="21"/>
              </w:rPr>
              <w:t>29.在安卓系统下，可对TV多媒体 USB所读取到的文件进行自动归类，可快速分类査找文档、板书、图片、音视频，检索后可直接在界面中打开。</w:t>
            </w:r>
          </w:p>
          <w:p>
            <w:pPr>
              <w:jc w:val="both"/>
            </w:pPr>
            <w:r>
              <w:rPr>
                <w:sz w:val="21"/>
              </w:rPr>
              <w:t>30.</w:t>
            </w:r>
            <w:r>
              <w:rPr>
                <w:sz w:val="21"/>
              </w:rPr>
              <w:t>嵌入式</w:t>
            </w:r>
            <w:r>
              <w:rPr>
                <w:sz w:val="21"/>
              </w:rPr>
              <w:t>Android</w:t>
            </w:r>
            <w:r>
              <w:rPr>
                <w:sz w:val="21"/>
              </w:rPr>
              <w:t>操作系统下，互动白板支持不同背景颜色，同时提供学科背景，如：五线谱、信纸、田字格、英文格、篮球和足球场地平面图。</w:t>
            </w:r>
          </w:p>
          <w:p>
            <w:pPr>
              <w:jc w:val="both"/>
            </w:pPr>
            <w:r>
              <w:rPr/>
              <w:t xml:space="preserve"> </w:t>
            </w:r>
          </w:p>
          <w:p>
            <w:pPr>
              <w:jc w:val="both"/>
            </w:pPr>
            <w:r>
              <w:rPr/>
              <w:t xml:space="preserve"> </w:t>
            </w:r>
          </w:p>
        </w:tc>
      </w:tr>
      <w:tr>
        <w:tc>
          <w:tcPr>
            <w:tcW w:type="dxa" w:w="2076"/>
          </w:tcPr>
          <w:p/>
        </w:tc>
        <w:tc>
          <w:tcPr>
            <w:tcW w:type="dxa" w:w="415"/>
          </w:tcPr>
          <w:p>
            <w:r>
              <w:rPr/>
              <w:t>20</w:t>
            </w:r>
          </w:p>
        </w:tc>
        <w:tc>
          <w:tcPr>
            <w:tcW w:type="dxa" w:w="5814"/>
          </w:tcPr>
          <w:p>
            <w:pPr>
              <w:jc w:val="left"/>
            </w:pPr>
            <w:r>
              <w:rPr>
                <w:sz w:val="21"/>
              </w:rPr>
              <w:t>组合式无尘绿板</w:t>
            </w:r>
          </w:p>
          <w:p>
            <w:pPr>
              <w:jc w:val="both"/>
            </w:pPr>
            <w:r>
              <w:rPr>
                <w:sz w:val="21"/>
              </w:rPr>
              <w:t>基本尺寸：外径</w:t>
            </w:r>
            <w:r>
              <w:rPr>
                <w:sz w:val="21"/>
              </w:rPr>
              <w:t>450cmX135cm</w:t>
            </w:r>
            <w:r>
              <w:rPr>
                <w:sz w:val="21"/>
              </w:rPr>
              <w:t>需保证与触控一体机物理尺寸有效对接；板面材质：采用优质镀锌钢板，厚度</w:t>
            </w:r>
            <w:r>
              <w:rPr>
                <w:sz w:val="21"/>
              </w:rPr>
              <w:t>≥0.30mm</w:t>
            </w:r>
            <w:r>
              <w:rPr>
                <w:sz w:val="21"/>
              </w:rPr>
              <w:t>，表面贴覆生化水清洁绿膜，整板无拼接，不变形；颜色：深绿色；明度</w:t>
            </w:r>
            <w:r>
              <w:rPr>
                <w:sz w:val="21"/>
              </w:rPr>
              <w:t>(V)</w:t>
            </w:r>
            <w:r>
              <w:rPr>
                <w:sz w:val="21"/>
              </w:rPr>
              <w:t>：</w:t>
            </w:r>
            <w:r>
              <w:rPr>
                <w:sz w:val="21"/>
              </w:rPr>
              <w:t>N4</w:t>
            </w:r>
            <w:r>
              <w:rPr>
                <w:sz w:val="21"/>
              </w:rPr>
              <w:t>以下；彩度（</w:t>
            </w:r>
            <w:r>
              <w:rPr>
                <w:sz w:val="21"/>
              </w:rPr>
              <w:t>C</w:t>
            </w:r>
            <w:r>
              <w:rPr>
                <w:sz w:val="21"/>
              </w:rPr>
              <w:t>）：</w:t>
            </w:r>
            <w:r>
              <w:rPr>
                <w:sz w:val="21"/>
              </w:rPr>
              <w:t>4</w:t>
            </w:r>
            <w:r>
              <w:rPr>
                <w:sz w:val="21"/>
              </w:rPr>
              <w:t>以下；光泽度：光泽度</w:t>
            </w:r>
            <w:r>
              <w:rPr>
                <w:sz w:val="21"/>
              </w:rPr>
              <w:t>≤12%</w:t>
            </w:r>
            <w:r>
              <w:rPr>
                <w:sz w:val="21"/>
              </w:rPr>
              <w:t>，无明显眩光，不反光。</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1.采购代理机构：本项目是指韶关市通盛招标代理有限公司，负责整个采购活动的组织，依法负责编制和发布磋商文件，对磋商文件拥有最终的解释权，不以任何身份出任磋商小组成员。</w:t>
      </w:r>
    </w:p>
    <w:p>
      <w:pPr>
        <w:ind w:firstLine="480"/>
      </w:pPr>
      <w:r>
        <w:rPr/>
        <w:t>2.采购人：本项目是指</w:t>
      </w:r>
      <w:r>
        <w:rPr/>
        <w:t>始兴县始兴中学</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无：本项目仅一个采购包，不适用。</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采购机构代理服务收费标准：采购机构代理服务收费标准： （1）按采购包独立计算，以成交通知书中各采购包的成交金额作为招标代理服务费的计算基数。 （2）按下述规定的“货物类”计费标准采用差额定率累进法计算。 货物类： ①金额：100万元以下，费率：1.5%； ②金额：100～500万元，费率：1.1%；</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说明：具体情况根据开标时现场代理机构人员设置为准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韶关市通盛招标代理有限公司</w:t>
      </w:r>
      <w:r>
        <w:rPr/>
        <w:t>代收。具体操作要求详见</w:t>
      </w:r>
      <w:r>
        <w:rPr/>
        <w:t>韶关市通盛招标代理有限公司</w:t>
      </w:r>
      <w:r>
        <w:rPr/>
        <w:t>有关指引，递交事宜请自行咨询</w:t>
      </w:r>
      <w:r>
        <w:rPr/>
        <w:t>韶关市通盛招标代理有限公司</w:t>
      </w:r>
      <w:r>
        <w:rPr/>
        <w:t>；请各供应商在响应文件递交截止时间前按须知前附表规定的金额递交至</w:t>
      </w:r>
      <w:r>
        <w:rPr/>
        <w:t>韶关市通盛招标代理有限公司</w:t>
      </w:r>
      <w:r>
        <w:rPr/>
        <w:t>，到账情况以开启时</w:t>
      </w:r>
      <w:r>
        <w:rPr/>
        <w:t>韶关市通盛招标代理有限公司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龙小姐</w:t>
      </w:r>
    </w:p>
    <w:p>
      <w:pPr>
        <w:ind w:firstLine="480"/>
      </w:pPr>
      <w:r>
        <w:rPr/>
        <w:t>电话：</w:t>
      </w:r>
      <w:r>
        <w:rPr/>
        <w:t>18307513921</w:t>
      </w:r>
    </w:p>
    <w:p>
      <w:pPr>
        <w:ind w:firstLine="480"/>
      </w:pPr>
      <w:r>
        <w:rPr/>
        <w:t>传真：</w:t>
      </w:r>
      <w:r>
        <w:rPr/>
        <w:t>/</w:t>
      </w:r>
    </w:p>
    <w:p>
      <w:pPr>
        <w:ind w:firstLine="480"/>
      </w:pPr>
      <w:r>
        <w:rPr/>
        <w:t>邮箱：</w:t>
      </w:r>
      <w:r>
        <w:rPr/>
        <w:t>sgts8899@163.com</w:t>
      </w:r>
    </w:p>
    <w:p>
      <w:pPr>
        <w:ind w:firstLine="480"/>
      </w:pPr>
      <w:r>
        <w:rPr/>
        <w:t>地址：</w:t>
      </w:r>
      <w:r>
        <w:rPr/>
        <w:t>韶关市武江区西联镇车头新村四街53座-3</w:t>
      </w:r>
    </w:p>
    <w:p>
      <w:pPr>
        <w:ind w:firstLine="480"/>
      </w:pPr>
      <w:r>
        <w:rPr/>
        <w:t>邮编：</w:t>
      </w:r>
      <w:r>
        <w:rPr/>
        <w:t>512000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政府采购监督管理机构名称：始兴县财政局政府采购管理股</w:t>
      </w:r>
    </w:p>
    <w:p>
      <w:r>
        <w:rPr/>
        <w:t>地  址：广东省韶关市始兴县永安大道财政局</w:t>
      </w:r>
    </w:p>
    <w:p>
      <w:r>
        <w:rPr/>
        <w:t>电  话：0751-3327979</w:t>
      </w:r>
    </w:p>
    <w:p>
      <w:r>
        <w:rPr/>
        <w:t>邮  编：512500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采购包1(始兴中学英语听说考场设备)：综合评分法,是指响应文件满足磋商文件全部实质性要求，且按照评审因素的量化指标评审得分最高的投标人为成交候选人的评标方法。（最低报价不是成交的唯一依据。）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韶关市通盛招标代理有限公司</w:t>
      </w:r>
      <w:r>
        <w:rPr/>
        <w:t>统一对外发布。</w:t>
      </w:r>
    </w:p>
    <w:p>
      <w:pPr>
        <w:ind w:firstLine="480"/>
      </w:pPr>
      <w:r>
        <w:rPr/>
        <w:t>（2）对</w:t>
      </w:r>
      <w:r>
        <w:rPr/>
        <w:t>韶关市通盛招标代理有限公司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采购包1（始兴中学英语听说考场设备）：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最后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采购包1（始兴中学英语听说考场设备）：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提供资格条件承诺函</w:t>
            </w:r>
          </w:p>
        </w:tc>
      </w:tr>
      <w:tr>
        <w:tc>
          <w:tcPr>
            <w:tcW w:type="dxa" w:w="890"/>
          </w:tcPr>
          <w:p>
            <w:r>
              <w:rPr/>
              <w:t>4</w:t>
            </w:r>
          </w:p>
        </w:tc>
        <w:tc>
          <w:tcPr>
            <w:tcW w:type="dxa" w:w="3178"/>
          </w:tcPr>
          <w:p>
            <w:r>
              <w:rPr/>
              <w:t>履行合同所必需的设备和专业技术能力</w:t>
            </w:r>
          </w:p>
        </w:tc>
        <w:tc>
          <w:tcPr>
            <w:tcW w:type="dxa" w:w="4238"/>
          </w:tcPr>
          <w:p>
            <w:r>
              <w:rPr/>
              <w:t>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提供资格条件承诺函</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响应承诺函。</w:t>
            </w:r>
          </w:p>
        </w:tc>
      </w:tr>
      <w:tr>
        <w:tc>
          <w:tcPr>
            <w:tcW w:type="dxa" w:w="890"/>
          </w:tcPr>
          <w:p>
            <w:r>
              <w:rPr/>
              <w:t>8</w:t>
            </w:r>
          </w:p>
        </w:tc>
        <w:tc>
          <w:tcPr>
            <w:tcW w:type="dxa" w:w="3178"/>
          </w:tcPr>
          <w:p>
            <w:r>
              <w:rPr/>
              <w:t>本采购包不属于专门面向中小企业采购的项目</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采购包1（始兴中学英语听说考场设备）：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响应承诺函已提交并按磋商文件填写、签署、盖章。</w:t>
            </w:r>
          </w:p>
        </w:tc>
      </w:tr>
      <w:tr>
        <w:tc>
          <w:tcPr>
            <w:tcW w:type="dxa" w:w="890"/>
          </w:tcPr>
          <w:p>
            <w:r>
              <w:rPr/>
              <w:t>2</w:t>
            </w:r>
          </w:p>
        </w:tc>
        <w:tc>
          <w:tcPr>
            <w:tcW w:type="dxa" w:w="3178"/>
          </w:tcPr>
          <w:p>
            <w:r>
              <w:rPr/>
              <w:t>响应报价</w:t>
            </w:r>
          </w:p>
        </w:tc>
        <w:tc>
          <w:tcPr>
            <w:tcW w:type="dxa" w:w="4238"/>
          </w:tcPr>
          <w:p>
            <w:r>
              <w:rPr/>
              <w:t>报价确定且未超过本采购包最高限价的。</w:t>
            </w:r>
          </w:p>
        </w:tc>
      </w:tr>
      <w:tr>
        <w:tc>
          <w:tcPr>
            <w:tcW w:type="dxa" w:w="890"/>
          </w:tcPr>
          <w:p>
            <w:r>
              <w:rPr/>
              <w:t>3</w:t>
            </w:r>
          </w:p>
        </w:tc>
        <w:tc>
          <w:tcPr>
            <w:tcW w:type="dxa" w:w="3178"/>
          </w:tcPr>
          <w:p>
            <w:r>
              <w:rPr/>
              <w:t>响应有效期</w:t>
            </w:r>
          </w:p>
        </w:tc>
        <w:tc>
          <w:tcPr>
            <w:tcW w:type="dxa" w:w="4238"/>
          </w:tcPr>
          <w:p>
            <w:r>
              <w:rPr/>
              <w:t>提供《响应承诺函》且响应有效期为从提交投标（响应）文件的截止之日起90日历天。</w:t>
            </w:r>
          </w:p>
        </w:tc>
      </w:tr>
      <w:tr>
        <w:tc>
          <w:tcPr>
            <w:tcW w:type="dxa" w:w="890"/>
          </w:tcPr>
          <w:p>
            <w:r>
              <w:rPr/>
              <w:t>4</w:t>
            </w:r>
          </w:p>
        </w:tc>
        <w:tc>
          <w:tcPr>
            <w:tcW w:type="dxa" w:w="3178"/>
          </w:tcPr>
          <w:p>
            <w:r>
              <w:rPr/>
              <w:t>法定代表人证明书及授权委托书</w:t>
            </w:r>
          </w:p>
        </w:tc>
        <w:tc>
          <w:tcPr>
            <w:tcW w:type="dxa" w:w="4238"/>
          </w:tcPr>
          <w:p>
            <w:r>
              <w:rPr/>
              <w:t>法定代表人证明书及授权委托书按对应格式文件签署、盖章。</w:t>
            </w:r>
          </w:p>
        </w:tc>
      </w:tr>
      <w:tr>
        <w:tc>
          <w:tcPr>
            <w:tcW w:type="dxa" w:w="890"/>
          </w:tcPr>
          <w:p>
            <w:r>
              <w:rPr/>
              <w:t>5</w:t>
            </w:r>
          </w:p>
        </w:tc>
        <w:tc>
          <w:tcPr>
            <w:tcW w:type="dxa" w:w="3178"/>
          </w:tcPr>
          <w:p>
            <w:r>
              <w:rPr/>
              <w:t>签署、盖章</w:t>
            </w:r>
          </w:p>
        </w:tc>
        <w:tc>
          <w:tcPr>
            <w:tcW w:type="dxa" w:w="4238"/>
          </w:tcPr>
          <w:p>
            <w:r>
              <w:rPr/>
              <w:t>按照磋商文件规定要求签署、盖章。</w:t>
            </w:r>
          </w:p>
        </w:tc>
      </w:tr>
      <w:tr>
        <w:tc>
          <w:tcPr>
            <w:tcW w:type="dxa" w:w="890"/>
          </w:tcPr>
          <w:p>
            <w:r>
              <w:rPr/>
              <w:t>6</w:t>
            </w:r>
          </w:p>
        </w:tc>
        <w:tc>
          <w:tcPr>
            <w:tcW w:type="dxa" w:w="3178"/>
          </w:tcPr>
          <w:p>
            <w:r>
              <w:rPr/>
              <w:t>其他情况</w:t>
            </w:r>
          </w:p>
        </w:tc>
        <w:tc>
          <w:tcPr>
            <w:tcW w:type="dxa" w:w="4238"/>
          </w:tcPr>
          <w:p>
            <w:r>
              <w:rPr/>
              <w:t>响应文件没有磋商文件中规定的其它无效响应条款的；按有关法律、法规、规章不属于响应无效的。</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采购包1(始兴中学英语听说考场设备):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所投设备的重要技术参数（▲号）响应性 (40.0分)</w:t>
            </w:r>
          </w:p>
        </w:tc>
        <w:tc>
          <w:tcPr>
            <w:tcW w:type="dxa" w:w="5076"/>
          </w:tcPr>
          <w:p>
            <w:pPr>
              <w:jc w:val="left"/>
            </w:pPr>
            <w:r>
              <w:rPr/>
              <w:t>供应商所投产品的重要技术参数（有▲号）的响应性完全满足或优于招标文件要求的得40分（共20个），否则，每负偏离一项扣2分，扣完为止。 备注：设备参数用户需求中参数没要求提供证明材料的则须提供产品彩页证明或由第三方出具的检测报告或厂商出具的参数证明或官网的参数截图证明并加盖代理商的公章作为证明材料，否则评标委员会有权视相应技术参数响应不符合招标要求。</w:t>
            </w:r>
          </w:p>
        </w:tc>
      </w:tr>
      <w:tr>
        <w:tc>
          <w:tcPr>
            <w:tcW w:type="dxa" w:w="922"/>
            <w:gridSpan w:val="2"/>
            <w:vMerge/>
          </w:tcPr>
          <w:p/>
        </w:tc>
        <w:tc>
          <w:tcPr>
            <w:tcW w:type="dxa" w:w="2307"/>
          </w:tcPr>
          <w:p>
            <w:pPr>
              <w:jc w:val="left"/>
            </w:pPr>
            <w:r>
              <w:rPr/>
              <w:t>一般参数（非标注▲参数的响应性 (10.0分)</w:t>
            </w:r>
          </w:p>
        </w:tc>
        <w:tc>
          <w:tcPr>
            <w:tcW w:type="dxa" w:w="5076"/>
          </w:tcPr>
          <w:p>
            <w:pPr>
              <w:jc w:val="left"/>
            </w:pPr>
            <w:r>
              <w:rPr/>
              <w:t>供应商所投产品的一般技术参数（非标注▲的）参数性能完全符合招标文件要求，没有负偏离的得10分，否则每负偏离一项扣0.5分，扣完为止。</w:t>
            </w:r>
          </w:p>
        </w:tc>
      </w:tr>
      <w:tr>
        <w:tc>
          <w:tcPr>
            <w:tcW w:type="dxa" w:w="922"/>
            <w:gridSpan w:val="2"/>
            <w:vMerge w:val="restart"/>
          </w:tcPr>
          <w:p>
            <w:pPr>
              <w:jc w:val="center"/>
            </w:pPr>
            <w:r>
              <w:rPr/>
              <w:t>商务部分</w:t>
            </w:r>
          </w:p>
        </w:tc>
        <w:tc>
          <w:tcPr>
            <w:tcW w:type="dxa" w:w="2307"/>
          </w:tcPr>
          <w:p>
            <w:pPr>
              <w:jc w:val="left"/>
            </w:pPr>
            <w:r>
              <w:rPr/>
              <w:t>商务要求的响应性 (7.0分)</w:t>
            </w:r>
          </w:p>
        </w:tc>
        <w:tc>
          <w:tcPr>
            <w:tcW w:type="dxa" w:w="5076"/>
          </w:tcPr>
          <w:p>
            <w:pPr>
              <w:jc w:val="left"/>
            </w:pPr>
            <w:r>
              <w:rPr/>
              <w:t>完全满足用户需求书中商务要求的得7分，每负偏离一项扣1分，扣完为止。</w:t>
            </w:r>
          </w:p>
        </w:tc>
      </w:tr>
      <w:tr>
        <w:tc>
          <w:tcPr>
            <w:tcW w:type="dxa" w:w="922"/>
            <w:gridSpan w:val="2"/>
            <w:vMerge/>
          </w:tcPr>
          <w:p/>
        </w:tc>
        <w:tc>
          <w:tcPr>
            <w:tcW w:type="dxa" w:w="2307"/>
          </w:tcPr>
          <w:p>
            <w:pPr>
              <w:jc w:val="left"/>
            </w:pPr>
            <w:r>
              <w:rPr/>
              <w:t>核心产品技术可靠性 (10.0分)</w:t>
            </w:r>
          </w:p>
        </w:tc>
        <w:tc>
          <w:tcPr>
            <w:tcW w:type="dxa" w:w="5076"/>
          </w:tcPr>
          <w:p>
            <w:pPr>
              <w:jc w:val="left"/>
            </w:pPr>
            <w:r>
              <w:rPr/>
              <w:t>1、所投核心产品在冲击测试中，加速度峰值150m/s²，主波宽度11ms，主波类型：半正弦波，在三个互相垂直的轴向的正负两个方向各进行3次冲击试验，样品测试均正常的得4分； 2、核心产品通过“国家电子计算机质量监督检验中心”噪声合格认证，噪声声压≤10.3dB得3分； 3、核心产品具备“控制计算机系统中冷却风扇的系统及方法”的技术得3分； 具有以上技术的满分得10分。（需提供加盖生产厂商公章（盖专用章无效）的技术说明书或相关认证）</w:t>
            </w:r>
          </w:p>
        </w:tc>
      </w:tr>
      <w:tr>
        <w:tc>
          <w:tcPr>
            <w:tcW w:type="dxa" w:w="922"/>
            <w:gridSpan w:val="2"/>
            <w:vMerge/>
          </w:tcPr>
          <w:p/>
        </w:tc>
        <w:tc>
          <w:tcPr>
            <w:tcW w:type="dxa" w:w="2307"/>
          </w:tcPr>
          <w:p>
            <w:pPr>
              <w:jc w:val="left"/>
            </w:pPr>
            <w:r>
              <w:rPr/>
              <w:t>同类项目业绩 (3.0分)</w:t>
            </w:r>
          </w:p>
        </w:tc>
        <w:tc>
          <w:tcPr>
            <w:tcW w:type="dxa" w:w="5076"/>
          </w:tcPr>
          <w:p>
            <w:pPr>
              <w:jc w:val="left"/>
            </w:pPr>
            <w:r>
              <w:rPr/>
              <w:t>供应商2020年5月1日起起至今具有同类招投标项目业绩（以合同签订时间为准）的，每提供一份合同得1分,最高得3分，不提供不得分。（注：需提供合同复印件并加盖供应商公章）。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p>
    <w:p>
      <w:pPr>
        <w:jc w:val="center"/>
      </w:pPr>
      <w:r>
        <w:rPr>
          <w:b/>
          <w:sz w:val="24"/>
        </w:rPr>
        <w:t>政府采购合同</w:t>
      </w:r>
    </w:p>
    <w:p>
      <w:pPr>
        <w:jc w:val="left"/>
      </w:pPr>
    </w:p>
    <w:p>
      <w:pPr>
        <w:jc w:val="left"/>
      </w:pPr>
    </w:p>
    <w:p>
      <w:pPr>
        <w:jc w:val="left"/>
      </w:pPr>
    </w:p>
    <w:p>
      <w:pPr>
        <w:jc w:val="left"/>
      </w:pPr>
    </w:p>
    <w:p>
      <w:pPr>
        <w:jc w:val="left"/>
      </w:pPr>
    </w:p>
    <w:p>
      <w:pPr>
        <w:ind w:firstLine="480"/>
        <w:jc w:val="both"/>
      </w:pPr>
    </w:p>
    <w:p>
      <w:pPr>
        <w:jc w:val="both"/>
      </w:pPr>
    </w:p>
    <w:p>
      <w:pPr>
        <w:jc w:val="both"/>
      </w:pPr>
    </w:p>
    <w:p>
      <w:pPr>
        <w:ind w:firstLine="1274"/>
        <w:jc w:val="both"/>
      </w:pPr>
      <w:r>
        <w:rPr>
          <w:sz w:val="21"/>
        </w:rPr>
        <w:t>合同编号：</w:t>
      </w:r>
    </w:p>
    <w:p>
      <w:pPr>
        <w:jc w:val="both"/>
      </w:pPr>
    </w:p>
    <w:p>
      <w:pPr>
        <w:ind w:firstLine="1274"/>
        <w:jc w:val="both"/>
      </w:pPr>
      <w:r>
        <w:rPr>
          <w:sz w:val="21"/>
        </w:rPr>
        <w:t>项目名称：</w:t>
      </w:r>
    </w:p>
    <w:p>
      <w:pPr>
        <w:jc w:val="both"/>
      </w:pPr>
    </w:p>
    <w:p>
      <w:pPr>
        <w:jc w:val="both"/>
      </w:pPr>
    </w:p>
    <w:p>
      <w:pPr>
        <w:jc w:val="both"/>
      </w:pPr>
    </w:p>
    <w:p>
      <w:pPr>
        <w:jc w:val="both"/>
      </w:pPr>
    </w:p>
    <w:p>
      <w:pPr>
        <w:ind w:firstLine="1274"/>
        <w:jc w:val="both"/>
      </w:pPr>
      <w:r>
        <w:rPr>
          <w:sz w:val="21"/>
        </w:rPr>
        <w:t>买　　方：</w:t>
      </w:r>
    </w:p>
    <w:p>
      <w:pPr>
        <w:jc w:val="both"/>
      </w:pPr>
    </w:p>
    <w:p>
      <w:pPr>
        <w:ind w:firstLine="1274"/>
        <w:jc w:val="both"/>
      </w:pPr>
      <w:r>
        <w:rPr>
          <w:sz w:val="21"/>
        </w:rPr>
        <w:t>卖　　方：</w:t>
      </w:r>
    </w:p>
    <w:p>
      <w:pPr>
        <w:ind w:firstLine="2125"/>
        <w:jc w:val="both"/>
      </w:pPr>
    </w:p>
    <w:p>
      <w:pPr>
        <w:jc w:val="both"/>
      </w:pPr>
    </w:p>
    <w:p>
      <w:pPr>
        <w:jc w:val="both"/>
      </w:pPr>
    </w:p>
    <w:p>
      <w:pPr>
        <w:jc w:val="both"/>
      </w:pPr>
    </w:p>
    <w:p>
      <w:pPr>
        <w:ind w:firstLine="1274"/>
        <w:jc w:val="both"/>
      </w:pPr>
      <w:r>
        <w:rPr>
          <w:sz w:val="21"/>
        </w:rPr>
        <w:t>签署日期：</w:t>
      </w:r>
    </w:p>
    <w:p>
      <w:pPr>
        <w:ind w:firstLine="2125"/>
        <w:jc w:val="both"/>
      </w:pPr>
    </w:p>
    <w:p>
      <w:pPr>
        <w:ind w:firstLine="1701"/>
        <w:jc w:val="left"/>
      </w:pPr>
    </w:p>
    <w:p>
      <w:pPr>
        <w:jc w:val="left"/>
      </w:pPr>
    </w:p>
    <w:p>
      <w:pPr>
        <w:jc w:val="both"/>
      </w:pPr>
    </w:p>
    <w:p>
      <w:pPr>
        <w:jc w:val="both"/>
      </w:pPr>
    </w:p>
    <w:p>
      <w:pPr>
        <w:jc w:val="both"/>
      </w:pPr>
    </w:p>
    <w:p>
      <w:pPr>
        <w:jc w:val="both"/>
      </w:pPr>
    </w:p>
    <w:p>
      <w:pPr>
        <w:jc w:val="both"/>
      </w:pPr>
    </w:p>
    <w:p/>
    <w:p/>
    <w:p>
      <w:pPr>
        <w:jc w:val="both"/>
      </w:pPr>
    </w:p>
    <w:p>
      <w:pPr>
        <w:jc w:val="both"/>
      </w:pPr>
    </w:p>
    <w:p>
      <w:pPr>
        <w:ind w:firstLine="420"/>
        <w:jc w:val="both"/>
      </w:pPr>
      <w:r>
        <w:rPr>
          <w:sz w:val="21"/>
        </w:rPr>
        <w:t>甲　　方：　　　　　</w:t>
      </w:r>
    </w:p>
    <w:p>
      <w:pPr>
        <w:ind w:firstLine="420"/>
        <w:jc w:val="both"/>
      </w:pPr>
      <w:r>
        <w:rPr>
          <w:sz w:val="21"/>
        </w:rPr>
        <w:t>电　　话：　　　　　　传　　真：　　　　　地　　址：　　　</w:t>
      </w:r>
    </w:p>
    <w:p>
      <w:pPr>
        <w:ind w:firstLine="420"/>
        <w:jc w:val="both"/>
      </w:pPr>
      <w:r>
        <w:rPr>
          <w:sz w:val="21"/>
        </w:rPr>
        <w:t>乙　　方：　　　　　</w:t>
      </w:r>
    </w:p>
    <w:p>
      <w:pPr>
        <w:ind w:firstLine="420"/>
        <w:jc w:val="both"/>
      </w:pPr>
      <w:r>
        <w:rPr>
          <w:sz w:val="21"/>
        </w:rPr>
        <w:t>电　　话：　　　　　　传　　真：　　　　　地　　址：　　　</w:t>
      </w:r>
    </w:p>
    <w:p>
      <w:pPr>
        <w:ind w:firstLine="420"/>
        <w:jc w:val="both"/>
      </w:pPr>
      <w:r>
        <w:rPr>
          <w:sz w:val="21"/>
        </w:rPr>
        <w:t xml:space="preserve"> </w:t>
      </w:r>
    </w:p>
    <w:p>
      <w:pPr>
        <w:ind w:firstLine="420"/>
        <w:jc w:val="both"/>
      </w:pPr>
      <w:r>
        <w:rPr>
          <w:sz w:val="21"/>
        </w:rPr>
        <w:t>根据</w:t>
      </w:r>
      <w:r>
        <w:rPr>
          <w:sz w:val="21"/>
          <w:u w:val="single"/>
        </w:rPr>
        <w:t xml:space="preserve">             </w:t>
      </w:r>
      <w:r>
        <w:rPr>
          <w:sz w:val="21"/>
        </w:rPr>
        <w:t>项目的采购结果，按照《中华人民共和国政府采购法》、《中华人民共和国民法典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》的规定，经双方协商，本着平等互利和诚实信用的原则，一致同意签订本合同如下。</w:t>
      </w:r>
    </w:p>
    <w:p>
      <w:pPr>
        <w:jc w:val="both"/>
      </w:pPr>
      <w:r>
        <w:rPr>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767"/>
        <w:gridCol w:w="3882"/>
        <w:gridCol w:w="767"/>
        <w:gridCol w:w="512"/>
        <w:gridCol w:w="512"/>
        <w:gridCol w:w="933"/>
        <w:gridCol w:w="933"/>
      </w:tblGrid>
      <w:tr>
        <w:tc>
          <w:tcPr>
            <w:tcW w:type="dxa" w:w="767"/>
            <w:tcBorders>
              <w:top w:val="single" w:color="000000" w:sz="4"/>
              <w:left w:val="single" w:color="000000" w:sz="4"/>
              <w:bottom w:val="single" w:color="000000" w:sz="4"/>
              <w:right w:val="single" w:color="000000" w:sz="4"/>
            </w:tcBorders>
            <w:vAlign w:val="top"/>
          </w:tcPr>
          <w:p>
            <w:pPr>
              <w:ind w:firstLine="420"/>
              <w:jc w:val="both"/>
            </w:pPr>
            <w:r>
              <w:rPr>
                <w:sz w:val="21"/>
              </w:rPr>
              <w:t>名称</w:t>
            </w:r>
          </w:p>
        </w:tc>
        <w:tc>
          <w:tcPr>
            <w:tcW w:type="dxa" w:w="3882"/>
            <w:tcBorders>
              <w:top w:val="single" w:color="000000" w:sz="4"/>
              <w:left w:val="none" w:color="000000" w:sz="4"/>
              <w:bottom w:val="single" w:color="000000" w:sz="4"/>
              <w:right w:val="single" w:color="000000" w:sz="4"/>
            </w:tcBorders>
            <w:vAlign w:val="top"/>
          </w:tcPr>
          <w:p>
            <w:pPr>
              <w:ind w:firstLine="420"/>
              <w:jc w:val="both"/>
            </w:pPr>
            <w:r>
              <w:rPr>
                <w:sz w:val="21"/>
              </w:rPr>
              <w:t>品牌、规格、标准</w:t>
            </w:r>
            <w:r>
              <w:rPr>
                <w:sz w:val="21"/>
              </w:rPr>
              <w:t>/</w:t>
            </w:r>
            <w:r>
              <w:rPr>
                <w:sz w:val="21"/>
              </w:rPr>
              <w:t>主要服务内容</w:t>
            </w:r>
          </w:p>
        </w:tc>
        <w:tc>
          <w:tcPr>
            <w:tcW w:type="dxa" w:w="767"/>
            <w:tcBorders>
              <w:top w:val="single" w:color="000000" w:sz="4"/>
              <w:left w:val="none" w:color="000000" w:sz="4"/>
              <w:bottom w:val="single" w:color="000000" w:sz="4"/>
              <w:right w:val="single" w:color="000000" w:sz="4"/>
            </w:tcBorders>
            <w:vAlign w:val="top"/>
          </w:tcPr>
          <w:p>
            <w:pPr>
              <w:ind w:firstLine="420"/>
              <w:jc w:val="both"/>
            </w:pPr>
            <w:r>
              <w:rPr>
                <w:sz w:val="21"/>
              </w:rPr>
              <w:t>产地</w:t>
            </w:r>
          </w:p>
        </w:tc>
        <w:tc>
          <w:tcPr>
            <w:tcW w:type="dxa" w:w="512"/>
            <w:tcBorders>
              <w:top w:val="single" w:color="000000" w:sz="4"/>
              <w:left w:val="none" w:color="000000" w:sz="4"/>
              <w:bottom w:val="single" w:color="000000" w:sz="4"/>
              <w:right w:val="single" w:color="000000" w:sz="4"/>
            </w:tcBorders>
            <w:vAlign w:val="top"/>
          </w:tcPr>
          <w:p>
            <w:pPr>
              <w:ind w:firstLine="420"/>
              <w:jc w:val="both"/>
            </w:pPr>
            <w:r>
              <w:rPr>
                <w:sz w:val="21"/>
              </w:rPr>
              <w:t>数量</w:t>
            </w:r>
          </w:p>
        </w:tc>
        <w:tc>
          <w:tcPr>
            <w:tcW w:type="dxa" w:w="512"/>
            <w:tcBorders>
              <w:top w:val="single" w:color="000000" w:sz="4"/>
              <w:left w:val="none" w:color="000000" w:sz="4"/>
              <w:bottom w:val="single" w:color="000000" w:sz="4"/>
              <w:right w:val="single" w:color="000000" w:sz="4"/>
            </w:tcBorders>
            <w:vAlign w:val="top"/>
          </w:tcPr>
          <w:p>
            <w:pPr>
              <w:ind w:firstLine="420"/>
              <w:jc w:val="both"/>
            </w:pPr>
            <w:r>
              <w:rPr>
                <w:sz w:val="21"/>
              </w:rPr>
              <w:t>单位</w:t>
            </w:r>
          </w:p>
        </w:tc>
        <w:tc>
          <w:tcPr>
            <w:tcW w:type="dxa" w:w="933"/>
            <w:tcBorders>
              <w:top w:val="single" w:color="000000" w:sz="4"/>
              <w:left w:val="none" w:color="000000" w:sz="4"/>
              <w:bottom w:val="single" w:color="000000" w:sz="4"/>
              <w:right w:val="single" w:color="000000" w:sz="4"/>
            </w:tcBorders>
            <w:vAlign w:val="top"/>
          </w:tcPr>
          <w:p>
            <w:pPr>
              <w:ind w:firstLine="420"/>
              <w:jc w:val="both"/>
            </w:pPr>
            <w:r>
              <w:rPr>
                <w:sz w:val="21"/>
              </w:rPr>
              <w:t>单价</w:t>
            </w:r>
          </w:p>
          <w:p>
            <w:pPr>
              <w:ind w:firstLine="420"/>
              <w:jc w:val="both"/>
            </w:pPr>
            <w:r>
              <w:rPr>
                <w:sz w:val="21"/>
              </w:rPr>
              <w:t>（元）</w:t>
            </w:r>
          </w:p>
        </w:tc>
        <w:tc>
          <w:tcPr>
            <w:tcW w:type="dxa" w:w="933"/>
            <w:tcBorders>
              <w:top w:val="single" w:color="000000" w:sz="4"/>
              <w:left w:val="none" w:color="000000" w:sz="4"/>
              <w:bottom w:val="single" w:color="000000" w:sz="4"/>
              <w:right w:val="single" w:color="000000" w:sz="4"/>
            </w:tcBorders>
            <w:vAlign w:val="top"/>
          </w:tcPr>
          <w:p>
            <w:pPr>
              <w:ind w:firstLine="420"/>
              <w:jc w:val="both"/>
            </w:pPr>
            <w:r>
              <w:rPr>
                <w:sz w:val="21"/>
              </w:rPr>
              <w:t>金额</w:t>
            </w:r>
          </w:p>
          <w:p>
            <w:pPr>
              <w:ind w:firstLine="420"/>
              <w:jc w:val="both"/>
            </w:pPr>
            <w:r>
              <w:rPr>
                <w:sz w:val="21"/>
              </w:rPr>
              <w:t>（元）</w:t>
            </w:r>
          </w:p>
        </w:tc>
      </w:tr>
      <w:tr>
        <w:tc>
          <w:tcPr>
            <w:tcW w:type="dxa" w:w="767"/>
            <w:tcBorders>
              <w:top w:val="none" w:color="000000" w:sz="4"/>
              <w:left w:val="single" w:color="000000" w:sz="4"/>
              <w:bottom w:val="single" w:color="000000" w:sz="4"/>
              <w:right w:val="single" w:color="000000" w:sz="4"/>
            </w:tcBorders>
            <w:vAlign w:val="top"/>
          </w:tcPr>
          <w:p>
            <w:pPr>
              <w:ind w:firstLine="420"/>
              <w:jc w:val="both"/>
            </w:pPr>
          </w:p>
        </w:tc>
        <w:tc>
          <w:tcPr>
            <w:tcW w:type="dxa" w:w="3882"/>
            <w:tcBorders>
              <w:top w:val="none" w:color="000000" w:sz="4"/>
              <w:left w:val="none" w:color="000000" w:sz="4"/>
              <w:bottom w:val="single" w:color="000000" w:sz="4"/>
              <w:right w:val="single" w:color="000000" w:sz="4"/>
            </w:tcBorders>
            <w:vAlign w:val="top"/>
          </w:tcPr>
          <w:p>
            <w:pPr>
              <w:ind w:firstLine="420"/>
              <w:jc w:val="both"/>
            </w:pPr>
          </w:p>
        </w:tc>
        <w:tc>
          <w:tcPr>
            <w:tcW w:type="dxa" w:w="767"/>
            <w:tcBorders>
              <w:top w:val="none" w:color="000000" w:sz="4"/>
              <w:left w:val="none" w:color="000000" w:sz="4"/>
              <w:bottom w:val="single" w:color="000000" w:sz="4"/>
              <w:right w:val="single" w:color="000000" w:sz="4"/>
            </w:tcBorders>
            <w:vAlign w:val="top"/>
          </w:tcPr>
          <w:p>
            <w:pPr>
              <w:ind w:firstLine="420"/>
              <w:jc w:val="both"/>
            </w:pPr>
          </w:p>
        </w:tc>
        <w:tc>
          <w:tcPr>
            <w:tcW w:type="dxa" w:w="512"/>
            <w:tcBorders>
              <w:top w:val="none" w:color="000000" w:sz="4"/>
              <w:left w:val="none" w:color="000000" w:sz="4"/>
              <w:bottom w:val="single" w:color="000000" w:sz="4"/>
              <w:right w:val="single" w:color="000000" w:sz="4"/>
            </w:tcBorders>
            <w:vAlign w:val="top"/>
          </w:tcPr>
          <w:p>
            <w:pPr>
              <w:ind w:firstLine="420"/>
              <w:jc w:val="both"/>
            </w:pPr>
          </w:p>
        </w:tc>
        <w:tc>
          <w:tcPr>
            <w:tcW w:type="dxa" w:w="512"/>
            <w:tcBorders>
              <w:top w:val="none" w:color="000000" w:sz="4"/>
              <w:left w:val="none" w:color="000000" w:sz="4"/>
              <w:bottom w:val="single" w:color="000000" w:sz="4"/>
              <w:right w:val="single" w:color="000000" w:sz="4"/>
            </w:tcBorders>
            <w:vAlign w:val="top"/>
          </w:tcPr>
          <w:p>
            <w:pPr>
              <w:ind w:firstLine="420"/>
              <w:jc w:val="both"/>
            </w:pPr>
          </w:p>
        </w:tc>
        <w:tc>
          <w:tcPr>
            <w:tcW w:type="dxa" w:w="933"/>
            <w:tcBorders>
              <w:top w:val="none" w:color="000000" w:sz="4"/>
              <w:left w:val="none" w:color="000000" w:sz="4"/>
              <w:bottom w:val="single" w:color="000000" w:sz="4"/>
              <w:right w:val="single" w:color="000000" w:sz="4"/>
            </w:tcBorders>
            <w:vAlign w:val="top"/>
          </w:tcPr>
          <w:p>
            <w:pPr>
              <w:ind w:firstLine="420"/>
              <w:jc w:val="both"/>
            </w:pPr>
          </w:p>
        </w:tc>
        <w:tc>
          <w:tcPr>
            <w:tcW w:type="dxa" w:w="933"/>
            <w:tcBorders>
              <w:top w:val="none" w:color="000000" w:sz="4"/>
              <w:left w:val="none" w:color="000000" w:sz="4"/>
              <w:bottom w:val="single" w:color="000000" w:sz="4"/>
              <w:right w:val="single" w:color="000000" w:sz="4"/>
            </w:tcBorders>
            <w:vAlign w:val="top"/>
          </w:tcPr>
          <w:p>
            <w:pPr>
              <w:ind w:firstLine="420"/>
              <w:jc w:val="both"/>
            </w:pPr>
          </w:p>
        </w:tc>
      </w:tr>
      <w:tr>
        <w:tc>
          <w:tcPr>
            <w:tcW w:type="dxa" w:w="767"/>
            <w:tcBorders>
              <w:top w:val="none" w:color="000000" w:sz="4"/>
              <w:left w:val="single" w:color="000000" w:sz="4"/>
              <w:bottom w:val="single" w:color="000000" w:sz="4"/>
              <w:right w:val="single" w:color="000000" w:sz="4"/>
            </w:tcBorders>
            <w:vAlign w:val="top"/>
          </w:tcPr>
          <w:p>
            <w:pPr>
              <w:ind w:firstLine="420"/>
              <w:jc w:val="both"/>
            </w:pPr>
            <w:r>
              <w:rPr>
                <w:sz w:val="21"/>
              </w:rPr>
              <w:t xml:space="preserve"> </w:t>
            </w:r>
          </w:p>
        </w:tc>
        <w:tc>
          <w:tcPr>
            <w:tcW w:type="dxa" w:w="3882"/>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767"/>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512"/>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512"/>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933"/>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933"/>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r>
      <w:tr>
        <w:tc>
          <w:tcPr>
            <w:tcW w:type="dxa" w:w="767"/>
            <w:tcBorders>
              <w:top w:val="none" w:color="000000" w:sz="4"/>
              <w:left w:val="single" w:color="000000" w:sz="4"/>
              <w:bottom w:val="single" w:color="000000" w:sz="4"/>
              <w:right w:val="single" w:color="000000" w:sz="4"/>
            </w:tcBorders>
            <w:vAlign w:val="top"/>
          </w:tcPr>
          <w:p>
            <w:pPr>
              <w:ind w:firstLine="420"/>
              <w:jc w:val="both"/>
            </w:pPr>
            <w:r>
              <w:rPr>
                <w:sz w:val="21"/>
              </w:rPr>
              <w:t xml:space="preserve"> </w:t>
            </w:r>
          </w:p>
        </w:tc>
        <w:tc>
          <w:tcPr>
            <w:tcW w:type="dxa" w:w="3882"/>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767"/>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512"/>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512"/>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933"/>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933"/>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r>
      <w:tr>
        <w:tc>
          <w:tcPr>
            <w:tcW w:type="dxa" w:w="767"/>
            <w:tcBorders>
              <w:top w:val="none" w:color="000000" w:sz="4"/>
              <w:left w:val="single" w:color="000000" w:sz="4"/>
              <w:bottom w:val="single" w:color="000000" w:sz="4"/>
              <w:right w:val="single" w:color="000000" w:sz="4"/>
            </w:tcBorders>
            <w:vAlign w:val="top"/>
          </w:tcPr>
          <w:p>
            <w:pPr>
              <w:ind w:firstLine="420"/>
              <w:jc w:val="both"/>
            </w:pPr>
            <w:r>
              <w:rPr>
                <w:sz w:val="21"/>
              </w:rPr>
              <w:t xml:space="preserve"> </w:t>
            </w:r>
          </w:p>
        </w:tc>
        <w:tc>
          <w:tcPr>
            <w:tcW w:type="dxa" w:w="3882"/>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767"/>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512"/>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512"/>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933"/>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933"/>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r>
      <w:tr>
        <w:tc>
          <w:tcPr>
            <w:tcW w:type="dxa" w:w="767"/>
            <w:tcBorders>
              <w:top w:val="none" w:color="000000" w:sz="4"/>
              <w:left w:val="single" w:color="000000" w:sz="4"/>
              <w:bottom w:val="single" w:color="000000" w:sz="4"/>
              <w:right w:val="single" w:color="000000" w:sz="4"/>
            </w:tcBorders>
            <w:vAlign w:val="top"/>
          </w:tcPr>
          <w:p>
            <w:pPr>
              <w:ind w:firstLine="420"/>
              <w:jc w:val="both"/>
            </w:pPr>
            <w:r>
              <w:rPr>
                <w:sz w:val="21"/>
              </w:rPr>
              <w:t xml:space="preserve"> </w:t>
            </w:r>
          </w:p>
        </w:tc>
        <w:tc>
          <w:tcPr>
            <w:tcW w:type="dxa" w:w="3882"/>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767"/>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512"/>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512"/>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933"/>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c>
          <w:tcPr>
            <w:tcW w:type="dxa" w:w="933"/>
            <w:tcBorders>
              <w:top w:val="none" w:color="000000" w:sz="4"/>
              <w:left w:val="none" w:color="000000" w:sz="4"/>
              <w:bottom w:val="single" w:color="000000" w:sz="4"/>
              <w:right w:val="single" w:color="000000" w:sz="4"/>
            </w:tcBorders>
            <w:vAlign w:val="top"/>
          </w:tcPr>
          <w:p>
            <w:pPr>
              <w:ind w:firstLine="420"/>
              <w:jc w:val="both"/>
            </w:pPr>
            <w:r>
              <w:rPr>
                <w:sz w:val="21"/>
              </w:rPr>
              <w:t xml:space="preserve"> </w:t>
            </w:r>
          </w:p>
        </w:tc>
      </w:tr>
      <w:tr>
        <w:tc>
          <w:tcPr>
            <w:tcW w:type="dxa" w:w="7373"/>
            <w:gridSpan w:val="6"/>
            <w:tcBorders>
              <w:top w:val="none" w:color="000000" w:sz="4"/>
              <w:left w:val="single" w:color="000000" w:sz="4"/>
              <w:bottom w:val="single" w:color="000000" w:sz="4"/>
              <w:right w:val="single" w:color="000000" w:sz="4"/>
            </w:tcBorders>
            <w:vAlign w:val="top"/>
          </w:tcPr>
          <w:p>
            <w:pPr>
              <w:ind w:firstLine="420"/>
              <w:jc w:val="both"/>
            </w:pPr>
            <w:r>
              <w:rPr>
                <w:sz w:val="21"/>
              </w:rPr>
              <w:t>合计：人民币大写：</w:t>
            </w:r>
            <w:r>
              <w:rPr>
                <w:sz w:val="21"/>
              </w:rPr>
              <w:t>**</w:t>
            </w:r>
            <w:r>
              <w:rPr>
                <w:sz w:val="21"/>
              </w:rPr>
              <w:t>元整</w:t>
            </w:r>
          </w:p>
        </w:tc>
        <w:tc>
          <w:tcPr>
            <w:tcW w:type="dxa" w:w="933"/>
            <w:tcBorders>
              <w:top w:val="none" w:color="000000" w:sz="4"/>
              <w:left w:val="none" w:color="000000" w:sz="4"/>
              <w:bottom w:val="single" w:color="000000" w:sz="4"/>
              <w:right w:val="single" w:color="000000" w:sz="4"/>
            </w:tcBorders>
            <w:vAlign w:val="top"/>
          </w:tcPr>
          <w:p>
            <w:pPr>
              <w:ind w:firstLine="420"/>
              <w:jc w:val="both"/>
            </w:pPr>
            <w:r>
              <w:rPr>
                <w:sz w:val="21"/>
              </w:rPr>
              <w:t>￥：</w:t>
            </w:r>
            <w:r>
              <w:rPr>
                <w:sz w:val="21"/>
              </w:rPr>
              <w:t>**</w:t>
            </w:r>
          </w:p>
        </w:tc>
      </w:tr>
    </w:tbl>
    <w:p>
      <w:pPr>
        <w:ind w:firstLine="420"/>
        <w:jc w:val="both"/>
      </w:pPr>
      <w:r>
        <w:rPr>
          <w:sz w:val="21"/>
        </w:rPr>
        <w:t xml:space="preserve">   </w:t>
      </w:r>
      <w:r>
        <w:rPr>
          <w:sz w:val="21"/>
        </w:rPr>
        <w:t>合同总额包括但不限于供货方设计、安装、随机零配件、标配工具、运输费用及保险、装卸、调试、验收、技术服务和培训、质保期服务等各项税费及合同实施过程中不可预见费用等。</w:t>
      </w:r>
    </w:p>
    <w:p>
      <w:pPr>
        <w:jc w:val="both"/>
      </w:pPr>
      <w:r>
        <w:rPr>
          <w:sz w:val="21"/>
        </w:rPr>
        <w:t>二、合同金额</w:t>
      </w:r>
    </w:p>
    <w:p>
      <w:pPr>
        <w:ind w:firstLine="420"/>
        <w:jc w:val="both"/>
      </w:pPr>
      <w:r>
        <w:rPr>
          <w:sz w:val="21"/>
        </w:rPr>
        <w:t>合同金额为（大写）：</w:t>
      </w:r>
      <w:r>
        <w:rPr>
          <w:sz w:val="21"/>
        </w:rPr>
        <w:t>_________________</w:t>
      </w:r>
      <w:r>
        <w:rPr>
          <w:sz w:val="21"/>
        </w:rPr>
        <w:t>元（￥</w:t>
      </w:r>
      <w:r>
        <w:rPr>
          <w:sz w:val="21"/>
        </w:rPr>
        <w:t>_______________</w:t>
      </w:r>
      <w:r>
        <w:rPr>
          <w:sz w:val="21"/>
        </w:rPr>
        <w:t>元）人民币。</w:t>
      </w:r>
    </w:p>
    <w:p>
      <w:pPr>
        <w:jc w:val="both"/>
      </w:pPr>
      <w:r>
        <w:rPr>
          <w:sz w:val="21"/>
        </w:rPr>
        <w:t>三、包装、保险及发运、保管要求</w:t>
      </w:r>
    </w:p>
    <w:p>
      <w:pPr>
        <w:ind w:firstLine="420"/>
        <w:jc w:val="left"/>
      </w:pPr>
      <w:r>
        <w:rPr>
          <w:color w:val="000000"/>
          <w:sz w:val="21"/>
        </w:rPr>
        <w:t>1.</w:t>
      </w:r>
      <w:r>
        <w:rPr>
          <w:color w:val="000000"/>
          <w:sz w:val="21"/>
        </w:rPr>
        <w:t>设备材料的包装必须是制造商原厂包装，其包装均应有良好的防湿、防锈、防潮、防雨、防腐及防碰撞的措施。凡由于包装不良造成的损失和由此产生的费用均由乙方承担。</w:t>
      </w:r>
    </w:p>
    <w:p>
      <w:pPr>
        <w:ind w:firstLine="420"/>
        <w:jc w:val="left"/>
      </w:pPr>
      <w:r>
        <w:rPr>
          <w:color w:val="000000"/>
          <w:sz w:val="21"/>
        </w:rPr>
        <w:t>2.</w:t>
      </w:r>
      <w:r>
        <w:rPr>
          <w:color w:val="000000"/>
          <w:sz w:val="21"/>
        </w:rPr>
        <w:t>乙方负责将设备材料货到现场过程中的全部运输，包括装卸车、货物现场的搬运。</w:t>
      </w:r>
    </w:p>
    <w:p>
      <w:pPr>
        <w:ind w:firstLine="420"/>
        <w:jc w:val="left"/>
      </w:pPr>
      <w:r>
        <w:rPr>
          <w:color w:val="000000"/>
          <w:sz w:val="21"/>
        </w:rPr>
        <w:t>3.</w:t>
      </w:r>
      <w:r>
        <w:rPr>
          <w:color w:val="000000"/>
          <w:sz w:val="21"/>
        </w:rPr>
        <w:t>各种设备必须提供装箱清单，按装箱清单验收货物。</w:t>
      </w:r>
    </w:p>
    <w:p>
      <w:pPr>
        <w:ind w:firstLine="420"/>
        <w:jc w:val="left"/>
      </w:pPr>
      <w:r>
        <w:rPr>
          <w:color w:val="000000"/>
          <w:sz w:val="21"/>
        </w:rPr>
        <w:t>4.</w:t>
      </w:r>
      <w:r>
        <w:rPr>
          <w:color w:val="000000"/>
          <w:sz w:val="21"/>
        </w:rPr>
        <w:t>货物在现场的保管由乙方负责，直至项目安装、验收完毕。</w:t>
      </w:r>
    </w:p>
    <w:p>
      <w:pPr>
        <w:ind w:firstLine="420"/>
        <w:jc w:val="left"/>
      </w:pPr>
      <w:r>
        <w:rPr>
          <w:color w:val="000000"/>
          <w:sz w:val="21"/>
        </w:rPr>
        <w:t>5.</w:t>
      </w:r>
      <w:r>
        <w:rPr>
          <w:color w:val="000000"/>
          <w:sz w:val="21"/>
        </w:rPr>
        <w:t>货物在系统安装调试验收合格前的保险由乙方负责，乙方负责其派出的现场服务人员人身意外保险。</w:t>
      </w:r>
    </w:p>
    <w:p>
      <w:pPr>
        <w:ind w:firstLine="420"/>
        <w:jc w:val="left"/>
      </w:pPr>
      <w:r>
        <w:rPr>
          <w:color w:val="000000"/>
          <w:sz w:val="21"/>
        </w:rPr>
        <w:t>6.</w:t>
      </w:r>
      <w:r>
        <w:rPr>
          <w:color w:val="000000"/>
          <w:sz w:val="21"/>
        </w:rPr>
        <w:t>设备至甲方指定的使用现场的包装、保险及发运等环节和费用均由乙方负责。</w:t>
      </w:r>
    </w:p>
    <w:p>
      <w:pPr>
        <w:jc w:val="both"/>
      </w:pPr>
      <w:r>
        <w:rPr>
          <w:sz w:val="21"/>
        </w:rPr>
        <w:t>四、交货期及交货地点</w:t>
      </w:r>
    </w:p>
    <w:p>
      <w:pPr>
        <w:ind w:firstLine="420"/>
        <w:jc w:val="both"/>
      </w:pPr>
      <w:r>
        <w:rPr>
          <w:sz w:val="21"/>
        </w:rPr>
        <w:t>1.</w:t>
      </w:r>
      <w:r>
        <w:rPr>
          <w:sz w:val="21"/>
        </w:rPr>
        <w:t>交货期：</w:t>
      </w:r>
      <w:r>
        <w:rPr>
          <w:sz w:val="21"/>
        </w:rPr>
        <w:t>自合同签订之日起</w:t>
      </w:r>
      <w:r>
        <w:rPr>
          <w:sz w:val="21"/>
        </w:rPr>
        <w:t>15</w:t>
      </w:r>
      <w:r>
        <w:rPr>
          <w:sz w:val="21"/>
        </w:rPr>
        <w:t>日历天内</w:t>
      </w:r>
      <w:r>
        <w:rPr>
          <w:color w:val="000000"/>
          <w:sz w:val="21"/>
        </w:rPr>
        <w:t>。</w:t>
      </w:r>
    </w:p>
    <w:p>
      <w:pPr>
        <w:ind w:firstLine="420"/>
        <w:jc w:val="both"/>
      </w:pPr>
      <w:r>
        <w:rPr>
          <w:sz w:val="21"/>
        </w:rPr>
        <w:t>2.</w:t>
      </w:r>
      <w:r>
        <w:rPr>
          <w:sz w:val="21"/>
        </w:rPr>
        <w:t>交货地点：</w:t>
      </w:r>
      <w:r>
        <w:rPr>
          <w:sz w:val="21"/>
        </w:rPr>
        <w:t>始兴县始兴中学</w:t>
      </w:r>
      <w:r>
        <w:rPr>
          <w:sz w:val="21"/>
        </w:rPr>
        <w:t>。</w:t>
      </w:r>
    </w:p>
    <w:p>
      <w:pPr>
        <w:jc w:val="both"/>
      </w:pPr>
      <w:r>
        <w:rPr>
          <w:sz w:val="21"/>
        </w:rPr>
        <w:t>五、付款方式</w:t>
      </w:r>
    </w:p>
    <w:p>
      <w:pPr>
        <w:ind w:firstLine="420"/>
        <w:jc w:val="left"/>
      </w:pPr>
      <w:r>
        <w:rPr>
          <w:color w:val="000000"/>
          <w:sz w:val="21"/>
        </w:rPr>
        <w:t>1</w:t>
      </w:r>
      <w:r>
        <w:rPr>
          <w:color w:val="000000"/>
          <w:sz w:val="21"/>
        </w:rPr>
        <w:t>）</w:t>
      </w:r>
      <w:r>
        <w:rPr>
          <w:color w:val="000000"/>
          <w:sz w:val="21"/>
        </w:rPr>
        <w:t>支付比例</w:t>
      </w:r>
      <w:r>
        <w:rPr>
          <w:color w:val="000000"/>
          <w:sz w:val="21"/>
        </w:rPr>
        <w:t>100%</w:t>
      </w:r>
      <w:r>
        <w:rPr>
          <w:color w:val="000000"/>
          <w:sz w:val="21"/>
        </w:rPr>
        <w:t>。</w:t>
      </w:r>
      <w:r>
        <w:rPr>
          <w:color w:val="000000"/>
          <w:sz w:val="21"/>
        </w:rPr>
        <w:t>项目验收合格全部完工后支付合同总价的</w:t>
      </w:r>
      <w:r>
        <w:rPr>
          <w:color w:val="000000"/>
          <w:sz w:val="21"/>
        </w:rPr>
        <w:t>100%</w:t>
      </w:r>
      <w:r>
        <w:rPr>
          <w:color w:val="000000"/>
          <w:sz w:val="21"/>
        </w:rPr>
        <w:t>。</w:t>
      </w:r>
    </w:p>
    <w:p>
      <w:pPr>
        <w:ind w:firstLine="420"/>
        <w:jc w:val="left"/>
      </w:pPr>
      <w:r>
        <w:rPr>
          <w:color w:val="000000"/>
          <w:sz w:val="21"/>
        </w:rPr>
        <w:t>（</w:t>
      </w:r>
      <w:r>
        <w:rPr>
          <w:color w:val="000000"/>
          <w:sz w:val="21"/>
        </w:rPr>
        <w:t>1</w:t>
      </w:r>
      <w:r>
        <w:rPr>
          <w:color w:val="000000"/>
          <w:sz w:val="21"/>
        </w:rPr>
        <w:t>）</w:t>
      </w:r>
      <w:r>
        <w:rPr>
          <w:color w:val="000000"/>
          <w:sz w:val="21"/>
        </w:rPr>
        <w:t>乙方</w:t>
      </w:r>
      <w:r>
        <w:rPr>
          <w:color w:val="000000"/>
          <w:sz w:val="21"/>
        </w:rPr>
        <w:t>凭以下有效文件与</w:t>
      </w:r>
      <w:r>
        <w:rPr>
          <w:color w:val="000000"/>
          <w:sz w:val="21"/>
        </w:rPr>
        <w:t>甲方</w:t>
      </w:r>
      <w:r>
        <w:rPr>
          <w:color w:val="000000"/>
          <w:sz w:val="21"/>
        </w:rPr>
        <w:t>结算：</w:t>
      </w:r>
      <w:r>
        <w:rPr>
          <w:color w:val="000000"/>
          <w:sz w:val="21"/>
        </w:rPr>
        <w:t>①合同；②</w:t>
      </w:r>
      <w:r>
        <w:rPr>
          <w:color w:val="000000"/>
          <w:sz w:val="21"/>
        </w:rPr>
        <w:t>乙方</w:t>
      </w:r>
      <w:r>
        <w:rPr>
          <w:color w:val="000000"/>
          <w:sz w:val="21"/>
        </w:rPr>
        <w:t>开具的正式发票；</w:t>
      </w:r>
      <w:r>
        <w:rPr>
          <w:color w:val="000000"/>
          <w:sz w:val="21"/>
        </w:rPr>
        <w:t>③成交通知书；④验收</w:t>
      </w:r>
      <w:r>
        <w:rPr>
          <w:color w:val="000000"/>
          <w:sz w:val="21"/>
        </w:rPr>
        <w:t>/</w:t>
      </w:r>
      <w:r>
        <w:rPr>
          <w:color w:val="000000"/>
          <w:sz w:val="21"/>
        </w:rPr>
        <w:t>成果报告等</w:t>
      </w:r>
      <w:r>
        <w:rPr>
          <w:color w:val="000000"/>
          <w:sz w:val="21"/>
        </w:rPr>
        <w:t>甲方</w:t>
      </w:r>
      <w:r>
        <w:rPr>
          <w:color w:val="000000"/>
          <w:sz w:val="21"/>
        </w:rPr>
        <w:t>要求的其他相关结算资料。</w:t>
      </w:r>
    </w:p>
    <w:p>
      <w:pPr>
        <w:ind w:firstLine="420"/>
        <w:jc w:val="left"/>
      </w:pPr>
      <w:r>
        <w:rPr>
          <w:color w:val="000000"/>
          <w:sz w:val="21"/>
        </w:rPr>
        <w:t>（</w:t>
      </w:r>
      <w:r>
        <w:rPr>
          <w:color w:val="000000"/>
          <w:sz w:val="21"/>
        </w:rPr>
        <w:t>2</w:t>
      </w:r>
      <w:r>
        <w:rPr>
          <w:color w:val="000000"/>
          <w:sz w:val="21"/>
        </w:rPr>
        <w:t>）因</w:t>
      </w:r>
      <w:r>
        <w:rPr>
          <w:color w:val="000000"/>
          <w:sz w:val="21"/>
        </w:rPr>
        <w:t>甲方</w:t>
      </w:r>
      <w:r>
        <w:rPr>
          <w:color w:val="000000"/>
          <w:sz w:val="21"/>
        </w:rPr>
        <w:t>使用的是财政资金，按照前款规定的付款时间，</w:t>
      </w:r>
      <w:r>
        <w:rPr>
          <w:color w:val="000000"/>
          <w:sz w:val="21"/>
        </w:rPr>
        <w:t>甲方</w:t>
      </w:r>
      <w:r>
        <w:rPr>
          <w:color w:val="000000"/>
          <w:sz w:val="21"/>
        </w:rPr>
        <w:t>在收到</w:t>
      </w:r>
      <w:r>
        <w:rPr>
          <w:color w:val="000000"/>
          <w:sz w:val="21"/>
        </w:rPr>
        <w:t>乙方</w:t>
      </w:r>
      <w:r>
        <w:rPr>
          <w:color w:val="000000"/>
          <w:sz w:val="21"/>
        </w:rPr>
        <w:t>发票后</w:t>
      </w:r>
      <w:r>
        <w:rPr>
          <w:color w:val="000000"/>
          <w:sz w:val="21"/>
        </w:rPr>
        <w:t>5</w:t>
      </w:r>
      <w:r>
        <w:rPr>
          <w:color w:val="000000"/>
          <w:sz w:val="21"/>
        </w:rPr>
        <w:t>个工作日内向政府采购支付部门提出办理财政支付申请手续（不含政府财政支付部门审核的时间），在规定时间内提出支付申请手续后即视为</w:t>
      </w:r>
      <w:r>
        <w:rPr>
          <w:color w:val="000000"/>
          <w:sz w:val="21"/>
        </w:rPr>
        <w:t>甲方</w:t>
      </w:r>
      <w:r>
        <w:rPr>
          <w:color w:val="000000"/>
          <w:sz w:val="21"/>
        </w:rPr>
        <w:t>已经按期支付。</w:t>
      </w:r>
    </w:p>
    <w:p>
      <w:pPr>
        <w:jc w:val="left"/>
      </w:pPr>
      <w:r>
        <w:rPr>
          <w:color w:val="000000"/>
          <w:sz w:val="21"/>
        </w:rPr>
        <w:t>六、质保期要求</w:t>
      </w:r>
    </w:p>
    <w:p>
      <w:pPr>
        <w:ind w:firstLine="420"/>
        <w:jc w:val="left"/>
      </w:pPr>
      <w:r>
        <w:rPr>
          <w:color w:val="000000"/>
          <w:sz w:val="21"/>
        </w:rPr>
        <w:t>1.</w:t>
      </w:r>
      <w:r>
        <w:rPr>
          <w:color w:val="000000"/>
          <w:sz w:val="21"/>
        </w:rPr>
        <w:t>质量保证期（简称</w:t>
      </w:r>
      <w:r>
        <w:rPr>
          <w:color w:val="000000"/>
          <w:sz w:val="21"/>
        </w:rPr>
        <w:t>“</w:t>
      </w:r>
      <w:r>
        <w:rPr>
          <w:color w:val="000000"/>
          <w:sz w:val="21"/>
        </w:rPr>
        <w:t>质保期</w:t>
      </w:r>
      <w:r>
        <w:rPr>
          <w:color w:val="000000"/>
          <w:sz w:val="21"/>
        </w:rPr>
        <w:t>”</w:t>
      </w:r>
      <w:r>
        <w:rPr>
          <w:color w:val="000000"/>
          <w:sz w:val="21"/>
        </w:rPr>
        <w:t>）为</w:t>
      </w:r>
      <w:r>
        <w:rPr>
          <w:color w:val="000000"/>
          <w:sz w:val="21"/>
        </w:rPr>
        <w:t>3</w:t>
      </w:r>
      <w:r>
        <w:rPr>
          <w:color w:val="000000"/>
          <w:sz w:val="21"/>
        </w:rPr>
        <w:t>年，质保期内乙方对</w:t>
      </w:r>
      <w:r>
        <w:rPr>
          <w:sz w:val="21"/>
        </w:rPr>
        <w:t>对所供货物实行包修、包换、包退、包维护保养</w:t>
      </w:r>
      <w:r>
        <w:rPr>
          <w:color w:val="000000"/>
          <w:sz w:val="21"/>
        </w:rPr>
        <w:t>。</w:t>
      </w:r>
    </w:p>
    <w:p>
      <w:pPr>
        <w:ind w:firstLine="420"/>
        <w:jc w:val="left"/>
      </w:pPr>
      <w:r>
        <w:rPr>
          <w:color w:val="000000"/>
          <w:sz w:val="21"/>
        </w:rPr>
        <w:t>2.</w:t>
      </w:r>
      <w:r>
        <w:rPr>
          <w:color w:val="000000"/>
          <w:sz w:val="21"/>
        </w:rPr>
        <w:t>质保期内，如设备或零部件因非人为因素出现故障而造成短期停用时，则质保期和免费维修期相应顺延。如停用时间累计超过</w:t>
      </w:r>
      <w:r>
        <w:rPr>
          <w:color w:val="000000"/>
          <w:sz w:val="21"/>
        </w:rPr>
        <w:t>60</w:t>
      </w:r>
      <w:r>
        <w:rPr>
          <w:color w:val="000000"/>
          <w:sz w:val="21"/>
        </w:rPr>
        <w:t>天则质保期重新计算。</w:t>
      </w:r>
    </w:p>
    <w:p>
      <w:pPr>
        <w:ind w:firstLine="420"/>
        <w:jc w:val="left"/>
      </w:pPr>
      <w:r>
        <w:rPr>
          <w:color w:val="000000"/>
          <w:sz w:val="21"/>
        </w:rPr>
        <w:t>3.</w:t>
      </w:r>
      <w:r>
        <w:rPr>
          <w:color w:val="000000"/>
          <w:sz w:val="21"/>
        </w:rPr>
        <w:t>对甲方的服务通知，乙方在接报后</w:t>
      </w:r>
      <w:r>
        <w:rPr>
          <w:color w:val="000000"/>
          <w:sz w:val="21"/>
        </w:rPr>
        <w:t>1</w:t>
      </w:r>
      <w:r>
        <w:rPr>
          <w:color w:val="000000"/>
          <w:sz w:val="21"/>
        </w:rPr>
        <w:t>小时内响应，</w:t>
      </w:r>
      <w:r>
        <w:rPr>
          <w:color w:val="000000"/>
          <w:sz w:val="21"/>
        </w:rPr>
        <w:t>2</w:t>
      </w:r>
      <w:r>
        <w:rPr>
          <w:color w:val="000000"/>
          <w:sz w:val="21"/>
        </w:rPr>
        <w:t>小时内到达现场，</w:t>
      </w:r>
      <w:r>
        <w:rPr>
          <w:color w:val="000000"/>
          <w:sz w:val="21"/>
        </w:rPr>
        <w:t>24</w:t>
      </w:r>
      <w:r>
        <w:rPr>
          <w:color w:val="000000"/>
          <w:sz w:val="21"/>
        </w:rPr>
        <w:t>小时内处理完毕。若在</w:t>
      </w:r>
      <w:r>
        <w:rPr>
          <w:color w:val="000000"/>
          <w:sz w:val="21"/>
        </w:rPr>
        <w:t>24</w:t>
      </w:r>
      <w:r>
        <w:rPr>
          <w:color w:val="000000"/>
          <w:sz w:val="21"/>
        </w:rPr>
        <w:t>小时内仍未能有效解决，乙方须免费提供同档次的设备予甲方临时使用。</w:t>
      </w:r>
    </w:p>
    <w:p>
      <w:pPr>
        <w:jc w:val="left"/>
      </w:pPr>
      <w:r>
        <w:rPr>
          <w:color w:val="000000"/>
          <w:sz w:val="21"/>
        </w:rPr>
        <w:t>七、安装、调试与交付</w:t>
      </w:r>
    </w:p>
    <w:p>
      <w:pPr>
        <w:ind w:firstLine="420"/>
        <w:jc w:val="left"/>
      </w:pPr>
      <w:r>
        <w:rPr>
          <w:color w:val="000000"/>
          <w:sz w:val="21"/>
        </w:rPr>
        <w:t>1.</w:t>
      </w:r>
      <w:r>
        <w:rPr>
          <w:color w:val="000000"/>
          <w:sz w:val="21"/>
        </w:rPr>
        <w:t>乙方必须依照招标文件的要求和投标文件的承诺，将设备、系统安装并调试至正常运行的最佳状态。</w:t>
      </w:r>
    </w:p>
    <w:p>
      <w:pPr>
        <w:ind w:firstLine="420"/>
        <w:jc w:val="left"/>
      </w:pPr>
      <w:r>
        <w:rPr>
          <w:color w:val="000000"/>
          <w:sz w:val="21"/>
        </w:rPr>
        <w:t>2.</w:t>
      </w:r>
      <w:r>
        <w:rPr>
          <w:color w:val="000000"/>
          <w:sz w:val="21"/>
        </w:rPr>
        <w:t>货物若有国家标准按照国家标准验收，若无国家标准按行业标准验收，为原制造商制造的全新产品，整机无污染，无侵权行为、表面无划损、无任何缺陷隐患，在中国境内可依常规安全合法使用。</w:t>
      </w:r>
    </w:p>
    <w:p>
      <w:pPr>
        <w:ind w:firstLine="420"/>
        <w:jc w:val="left"/>
      </w:pPr>
      <w:r>
        <w:rPr>
          <w:color w:val="000000"/>
          <w:sz w:val="21"/>
        </w:rPr>
        <w:t>3</w:t>
      </w:r>
      <w:r>
        <w:rPr>
          <w:color w:val="000000"/>
          <w:sz w:val="21"/>
        </w:rPr>
        <w:t>.</w:t>
      </w:r>
      <w:r>
        <w:rPr>
          <w:color w:val="000000"/>
          <w:sz w:val="21"/>
        </w:rPr>
        <w:t>货物为原厂商未启封全新包装，具出厂合格证，序列号、包装箱号与出厂批号一致，并可追索查阅。所有随设备的附件必须齐全。</w:t>
      </w:r>
    </w:p>
    <w:p>
      <w:pPr>
        <w:ind w:firstLine="420"/>
        <w:jc w:val="left"/>
      </w:pPr>
      <w:r>
        <w:rPr>
          <w:color w:val="000000"/>
          <w:sz w:val="21"/>
        </w:rPr>
        <w:t>5</w:t>
      </w:r>
      <w:r>
        <w:rPr>
          <w:color w:val="000000"/>
          <w:sz w:val="21"/>
        </w:rPr>
        <w:t>.</w:t>
      </w:r>
      <w:r>
        <w:rPr>
          <w:color w:val="000000"/>
          <w:sz w:val="21"/>
        </w:rPr>
        <w:t>乙方应将关键主机设备的用户手册、保修手册、有关单证资料及配备件、随机工具等交付给甲方，使用操作及安全须知等重要资料应附有中文说明。</w:t>
      </w:r>
    </w:p>
    <w:p>
      <w:r>
        <w:rPr>
          <w:sz w:val="21"/>
        </w:rPr>
        <w:t>八、</w:t>
      </w:r>
      <w:r>
        <w:rPr>
          <w:sz w:val="21"/>
        </w:rPr>
        <w:t>验收要求</w:t>
      </w:r>
    </w:p>
    <w:p>
      <w:pPr>
        <w:ind w:firstLine="420"/>
        <w:jc w:val="left"/>
      </w:pPr>
      <w:r>
        <w:rPr>
          <w:color w:val="000000"/>
          <w:sz w:val="21"/>
        </w:rPr>
        <w:t>1.</w:t>
      </w:r>
      <w:r>
        <w:rPr>
          <w:color w:val="000000"/>
          <w:sz w:val="21"/>
        </w:rPr>
        <w:t>甲方</w:t>
      </w:r>
      <w:r>
        <w:rPr>
          <w:color w:val="000000"/>
          <w:sz w:val="21"/>
        </w:rPr>
        <w:t>组成验收小组按国家有关规定、规范进行验收，必要时邀请相关的专业人员或机构参与验收。因货物质量问题发生争议时，由本地质量技术监督部门鉴定。货物符合质量技术标准的，鉴定费由</w:t>
      </w:r>
      <w:r>
        <w:rPr>
          <w:color w:val="000000"/>
          <w:sz w:val="21"/>
        </w:rPr>
        <w:t>甲方</w:t>
      </w:r>
      <w:r>
        <w:rPr>
          <w:color w:val="000000"/>
          <w:sz w:val="21"/>
        </w:rPr>
        <w:t>承担；否则鉴定费由</w:t>
      </w:r>
      <w:r>
        <w:rPr>
          <w:color w:val="000000"/>
          <w:sz w:val="21"/>
        </w:rPr>
        <w:t>乙方</w:t>
      </w:r>
      <w:r>
        <w:rPr>
          <w:color w:val="000000"/>
          <w:sz w:val="21"/>
        </w:rPr>
        <w:t>承担。</w:t>
      </w:r>
    </w:p>
    <w:p>
      <w:pPr>
        <w:jc w:val="left"/>
      </w:pPr>
      <w:r>
        <w:rPr>
          <w:color w:val="000000"/>
          <w:sz w:val="21"/>
        </w:rPr>
        <w:t>九</w:t>
      </w:r>
      <w:r>
        <w:rPr>
          <w:color w:val="000000"/>
          <w:sz w:val="21"/>
        </w:rPr>
        <w:t>、履约保证金：不收取</w:t>
      </w:r>
    </w:p>
    <w:p>
      <w:pPr>
        <w:jc w:val="left"/>
      </w:pPr>
      <w:r>
        <w:rPr>
          <w:color w:val="000000"/>
          <w:sz w:val="21"/>
        </w:rPr>
        <w:t>十、违约责任与赔偿损失</w:t>
      </w:r>
    </w:p>
    <w:p>
      <w:pPr>
        <w:ind w:firstLine="420"/>
        <w:jc w:val="left"/>
      </w:pPr>
      <w:r>
        <w:rPr>
          <w:color w:val="000000"/>
          <w:sz w:val="21"/>
        </w:rPr>
        <w:t>1.</w:t>
      </w:r>
      <w:r>
        <w:rPr>
          <w:color w:val="000000"/>
          <w:sz w:val="21"/>
        </w:rPr>
        <w:t>乙方交付的货物、工程</w:t>
      </w:r>
      <w:r>
        <w:rPr>
          <w:color w:val="000000"/>
          <w:sz w:val="21"/>
        </w:rPr>
        <w:t>/</w:t>
      </w:r>
      <w:r>
        <w:rPr>
          <w:color w:val="000000"/>
          <w:sz w:val="21"/>
        </w:rPr>
        <w:t>提供的服务不符合本合同规定的，甲方有权拒收，并且乙方须向甲方支付本合同总价</w:t>
      </w:r>
      <w:r>
        <w:rPr>
          <w:color w:val="000000"/>
          <w:sz w:val="21"/>
        </w:rPr>
        <w:t>5%</w:t>
      </w:r>
      <w:r>
        <w:rPr>
          <w:color w:val="000000"/>
          <w:sz w:val="21"/>
        </w:rPr>
        <w:t>的违约金。</w:t>
      </w:r>
    </w:p>
    <w:p>
      <w:pPr>
        <w:ind w:firstLine="420"/>
        <w:jc w:val="left"/>
      </w:pPr>
      <w:r>
        <w:rPr>
          <w:color w:val="000000"/>
          <w:sz w:val="21"/>
        </w:rPr>
        <w:t>2.</w:t>
      </w:r>
      <w:r>
        <w:rPr>
          <w:color w:val="000000"/>
          <w:sz w:val="21"/>
        </w:rPr>
        <w:t>乙方未能按本合同规定的交货时间交付货物的</w:t>
      </w:r>
      <w:r>
        <w:rPr>
          <w:color w:val="000000"/>
          <w:sz w:val="21"/>
        </w:rPr>
        <w:t>/</w:t>
      </w:r>
      <w:r>
        <w:rPr>
          <w:color w:val="000000"/>
          <w:sz w:val="21"/>
        </w:rPr>
        <w:t>提供服务，从逾期之日起每日按本合同总价</w:t>
      </w:r>
      <w:r>
        <w:rPr>
          <w:color w:val="000000"/>
          <w:sz w:val="21"/>
        </w:rPr>
        <w:t>3‰</w:t>
      </w:r>
      <w:r>
        <w:rPr>
          <w:color w:val="000000"/>
          <w:sz w:val="21"/>
        </w:rPr>
        <w:t>的数额向甲方支付违约金；逾期半个月以上的，甲方有权终止合同，由此造成的甲方经济损失由乙方承担。</w:t>
      </w:r>
    </w:p>
    <w:p>
      <w:pPr>
        <w:ind w:firstLine="420"/>
        <w:jc w:val="left"/>
      </w:pPr>
      <w:r>
        <w:rPr>
          <w:color w:val="000000"/>
          <w:sz w:val="21"/>
        </w:rPr>
        <w:t>3.</w:t>
      </w:r>
      <w:r>
        <w:rPr>
          <w:color w:val="000000"/>
          <w:sz w:val="21"/>
        </w:rPr>
        <w:t>甲方无正当理由拒收货物</w:t>
      </w:r>
      <w:r>
        <w:rPr>
          <w:color w:val="000000"/>
          <w:sz w:val="21"/>
        </w:rPr>
        <w:t>/</w:t>
      </w:r>
      <w:r>
        <w:rPr>
          <w:color w:val="000000"/>
          <w:sz w:val="21"/>
        </w:rPr>
        <w:t>接受服务，到期拒付货物</w:t>
      </w:r>
      <w:r>
        <w:rPr>
          <w:color w:val="000000"/>
          <w:sz w:val="21"/>
        </w:rPr>
        <w:t>/</w:t>
      </w:r>
      <w:r>
        <w:rPr>
          <w:color w:val="000000"/>
          <w:sz w:val="21"/>
        </w:rPr>
        <w:t>服务款项的，甲方向乙方偿付本合同总的</w:t>
      </w:r>
      <w:r>
        <w:rPr>
          <w:color w:val="000000"/>
          <w:sz w:val="21"/>
        </w:rPr>
        <w:t>5%</w:t>
      </w:r>
      <w:r>
        <w:rPr>
          <w:color w:val="000000"/>
          <w:sz w:val="21"/>
        </w:rPr>
        <w:t>的违约金。甲方人逾期付款，则每日按本合同总价的</w:t>
      </w:r>
      <w:r>
        <w:rPr>
          <w:color w:val="000000"/>
          <w:sz w:val="21"/>
        </w:rPr>
        <w:t>3‰</w:t>
      </w:r>
      <w:r>
        <w:rPr>
          <w:color w:val="000000"/>
          <w:sz w:val="21"/>
        </w:rPr>
        <w:t>向乙方偿付违约金。</w:t>
      </w:r>
    </w:p>
    <w:p>
      <w:pPr>
        <w:ind w:firstLine="420"/>
        <w:jc w:val="left"/>
      </w:pPr>
      <w:r>
        <w:rPr>
          <w:color w:val="000000"/>
          <w:sz w:val="21"/>
        </w:rPr>
        <w:t>4.</w:t>
      </w:r>
      <w:r>
        <w:rPr>
          <w:color w:val="000000"/>
          <w:sz w:val="21"/>
        </w:rPr>
        <w:t xml:space="preserve">对于因甲方原因导致变更、中止或者终止政府采购合同的，甲方应当依照以下合同约定对供应商受到的损失予以赔偿或者补偿：                                             </w:t>
      </w:r>
    </w:p>
    <w:p>
      <w:pPr>
        <w:ind w:firstLine="420"/>
        <w:jc w:val="left"/>
      </w:pPr>
      <w:r>
        <w:rPr>
          <w:color w:val="000000"/>
          <w:sz w:val="21"/>
        </w:rPr>
        <w:t>5.</w:t>
      </w:r>
      <w:r>
        <w:rPr>
          <w:color w:val="000000"/>
          <w:sz w:val="21"/>
        </w:rPr>
        <w:t>其它违约责任按《中华人民共和国民法典</w:t>
      </w:r>
      <w:r>
        <w:rPr>
          <w:color w:val="000000"/>
          <w:sz w:val="21"/>
        </w:rPr>
        <w:t>(</w:t>
      </w:r>
      <w:r>
        <w:rPr>
          <w:color w:val="000000"/>
          <w:sz w:val="21"/>
        </w:rPr>
        <w:t>合同编</w:t>
      </w:r>
      <w:r>
        <w:rPr>
          <w:color w:val="000000"/>
          <w:sz w:val="21"/>
        </w:rPr>
        <w:t>)</w:t>
      </w:r>
      <w:r>
        <w:rPr>
          <w:color w:val="000000"/>
          <w:sz w:val="21"/>
        </w:rPr>
        <w:t>》处理。</w:t>
      </w:r>
    </w:p>
    <w:p>
      <w:pPr>
        <w:jc w:val="left"/>
      </w:pPr>
      <w:r>
        <w:rPr>
          <w:color w:val="000000"/>
          <w:sz w:val="21"/>
        </w:rPr>
        <w:t>十</w:t>
      </w:r>
      <w:r>
        <w:rPr>
          <w:color w:val="000000"/>
          <w:sz w:val="21"/>
        </w:rPr>
        <w:t>一</w:t>
      </w:r>
      <w:r>
        <w:rPr>
          <w:color w:val="000000"/>
          <w:sz w:val="21"/>
        </w:rPr>
        <w:t>、争议的解决合同执行过程中发生的任何争议，如双方不能通过友好协商解决，按相关法律法规处理。</w:t>
      </w:r>
    </w:p>
    <w:p>
      <w:pPr>
        <w:jc w:val="left"/>
      </w:pPr>
      <w:r>
        <w:rPr>
          <w:color w:val="000000"/>
          <w:sz w:val="21"/>
        </w:rPr>
        <w:t>十</w:t>
      </w:r>
      <w:r>
        <w:rPr>
          <w:color w:val="000000"/>
          <w:sz w:val="21"/>
        </w:rPr>
        <w:t>二</w:t>
      </w:r>
      <w:r>
        <w:rPr>
          <w:color w:val="000000"/>
          <w:sz w:val="21"/>
        </w:rPr>
        <w:t>、不可抗力</w:t>
      </w:r>
    </w:p>
    <w:p>
      <w:pPr>
        <w:ind w:firstLine="420"/>
        <w:jc w:val="left"/>
      </w:pPr>
      <w:r>
        <w:rPr>
          <w:color w:val="000000"/>
          <w:sz w:val="21"/>
        </w:rPr>
        <w:t>1.</w:t>
      </w:r>
      <w:r>
        <w:rPr>
          <w:color w:val="000000"/>
          <w:sz w:val="21"/>
        </w:rPr>
        <w:t>任何一方由于不可抗力原因不能履行合同时，应在不可抗力事件结束后</w:t>
      </w:r>
      <w:r>
        <w:rPr>
          <w:color w:val="000000"/>
          <w:sz w:val="21"/>
        </w:rPr>
        <w:t>1</w:t>
      </w:r>
      <w:r>
        <w:rPr>
          <w:color w:val="000000"/>
          <w:sz w:val="21"/>
        </w:rPr>
        <w:t>日内向对方通报，以减轻可能给对方造成的损失，在取得有关机构的不可抗力证明或双方谅解确认后，允许延期履行或修订合同，并根据情况可部分或全部免于承担违约责任。</w:t>
      </w:r>
    </w:p>
    <w:p>
      <w:pPr>
        <w:jc w:val="left"/>
      </w:pPr>
      <w:r>
        <w:rPr>
          <w:color w:val="000000"/>
          <w:sz w:val="21"/>
        </w:rPr>
        <w:t>十</w:t>
      </w:r>
      <w:r>
        <w:rPr>
          <w:color w:val="000000"/>
          <w:sz w:val="21"/>
        </w:rPr>
        <w:t>三</w:t>
      </w:r>
      <w:r>
        <w:rPr>
          <w:color w:val="000000"/>
          <w:sz w:val="21"/>
        </w:rPr>
        <w:t>、税费</w:t>
      </w:r>
    </w:p>
    <w:p>
      <w:pPr>
        <w:ind w:firstLine="420"/>
        <w:jc w:val="left"/>
      </w:pPr>
      <w:r>
        <w:rPr>
          <w:color w:val="000000"/>
          <w:sz w:val="21"/>
        </w:rPr>
        <w:t>1.</w:t>
      </w:r>
      <w:r>
        <w:rPr>
          <w:color w:val="000000"/>
          <w:sz w:val="21"/>
        </w:rPr>
        <w:t>在中国境内、外发生的与本合同执行有关的一切税费均由乙方负担。</w:t>
      </w:r>
    </w:p>
    <w:p>
      <w:pPr>
        <w:jc w:val="left"/>
      </w:pPr>
      <w:r>
        <w:rPr>
          <w:color w:val="000000"/>
          <w:sz w:val="21"/>
        </w:rPr>
        <w:t>十</w:t>
      </w:r>
      <w:r>
        <w:rPr>
          <w:color w:val="000000"/>
          <w:sz w:val="21"/>
        </w:rPr>
        <w:t>四</w:t>
      </w:r>
      <w:r>
        <w:rPr>
          <w:color w:val="000000"/>
          <w:sz w:val="21"/>
        </w:rPr>
        <w:t>、其它</w:t>
      </w:r>
    </w:p>
    <w:p>
      <w:pPr>
        <w:ind w:firstLine="420"/>
        <w:jc w:val="left"/>
      </w:pPr>
      <w:r>
        <w:rPr>
          <w:color w:val="000000"/>
          <w:sz w:val="21"/>
        </w:rPr>
        <w:t>1.</w:t>
      </w:r>
      <w:r>
        <w:rPr>
          <w:color w:val="000000"/>
          <w:sz w:val="21"/>
        </w:rPr>
        <w:t>本合同所有附件、招标文件、投标文件、中标通知书均为合同的有效组成部分，与本合同具有同等法律效力。</w:t>
      </w:r>
    </w:p>
    <w:p>
      <w:pPr>
        <w:ind w:firstLine="420"/>
        <w:jc w:val="left"/>
      </w:pPr>
      <w:r>
        <w:rPr>
          <w:color w:val="000000"/>
          <w:sz w:val="21"/>
        </w:rPr>
        <w:t>2.</w:t>
      </w:r>
      <w:r>
        <w:rPr>
          <w:color w:val="000000"/>
          <w:sz w:val="21"/>
        </w:rPr>
        <w:t>在执行本合同的过程中，所有经双方签署确认的文件（包括会议纪要、补充协议、往来信函）即成为本合同的有效组成部分。</w:t>
      </w:r>
    </w:p>
    <w:p>
      <w:pPr>
        <w:ind w:firstLine="420"/>
        <w:jc w:val="left"/>
      </w:pPr>
      <w:r>
        <w:rPr>
          <w:color w:val="000000"/>
          <w:sz w:val="21"/>
        </w:rPr>
        <w:t>3.</w:t>
      </w:r>
      <w:r>
        <w:rPr>
          <w:color w:val="000000"/>
          <w:sz w:val="21"/>
        </w:rPr>
        <w:t>如一方地址、电话、传真号码有变更，应在变更当日内书面通知对方，否则，应承担相应责任。</w:t>
      </w:r>
    </w:p>
    <w:p>
      <w:pPr>
        <w:ind w:firstLine="420"/>
        <w:jc w:val="left"/>
      </w:pPr>
      <w:r>
        <w:rPr>
          <w:color w:val="000000"/>
          <w:sz w:val="21"/>
        </w:rPr>
        <w:t>4.</w:t>
      </w:r>
      <w:r>
        <w:rPr>
          <w:color w:val="000000"/>
          <w:sz w:val="21"/>
        </w:rPr>
        <w:t>除甲方事先书面同意外，乙方不得部分或全部转让其应履行的合同项下的义务。</w:t>
      </w:r>
    </w:p>
    <w:p>
      <w:pPr>
        <w:jc w:val="left"/>
      </w:pPr>
      <w:r>
        <w:rPr>
          <w:color w:val="000000"/>
          <w:sz w:val="21"/>
        </w:rPr>
        <w:t>十</w:t>
      </w:r>
      <w:r>
        <w:rPr>
          <w:color w:val="000000"/>
          <w:sz w:val="21"/>
        </w:rPr>
        <w:t>五</w:t>
      </w:r>
      <w:r>
        <w:rPr>
          <w:color w:val="000000"/>
          <w:sz w:val="21"/>
        </w:rPr>
        <w:t>、合同生效</w:t>
      </w:r>
    </w:p>
    <w:p>
      <w:pPr>
        <w:ind w:firstLine="420"/>
        <w:jc w:val="left"/>
      </w:pPr>
      <w:r>
        <w:rPr>
          <w:color w:val="000000"/>
          <w:sz w:val="21"/>
        </w:rPr>
        <w:t>1.</w:t>
      </w:r>
      <w:r>
        <w:rPr>
          <w:color w:val="000000"/>
          <w:sz w:val="21"/>
        </w:rPr>
        <w:t>本合同在甲乙双方法人代表或其授权代表签字盖章后生效。</w:t>
      </w:r>
    </w:p>
    <w:p>
      <w:pPr>
        <w:ind w:firstLine="420"/>
        <w:jc w:val="left"/>
      </w:pPr>
      <w:r>
        <w:rPr>
          <w:color w:val="000000"/>
          <w:sz w:val="21"/>
        </w:rPr>
        <w:t>2.</w:t>
      </w:r>
      <w:r>
        <w:rPr>
          <w:color w:val="000000"/>
          <w:sz w:val="21"/>
        </w:rPr>
        <w:t>合同一式   份。</w:t>
      </w:r>
    </w:p>
    <w:p>
      <w:pPr>
        <w:ind w:firstLine="420"/>
        <w:jc w:val="left"/>
      </w:pPr>
      <w:r>
        <w:rPr>
          <w:sz w:val="21"/>
        </w:rPr>
        <w:t xml:space="preserve"> </w:t>
      </w:r>
    </w:p>
    <w:p>
      <w:pPr>
        <w:ind w:firstLine="420"/>
        <w:jc w:val="left"/>
      </w:pPr>
      <w:r>
        <w:rPr>
          <w:color w:val="000000"/>
          <w:sz w:val="21"/>
        </w:rPr>
        <w:t>甲方（盖章）：乙方（盖章）：</w:t>
      </w:r>
    </w:p>
    <w:p>
      <w:pPr>
        <w:ind w:firstLine="420"/>
        <w:jc w:val="left"/>
      </w:pPr>
      <w:r>
        <w:rPr>
          <w:color w:val="000000"/>
          <w:sz w:val="21"/>
        </w:rPr>
        <w:t>代表：代表：</w:t>
      </w:r>
    </w:p>
    <w:p>
      <w:pPr>
        <w:ind w:firstLine="420"/>
        <w:jc w:val="left"/>
      </w:pPr>
      <w:r>
        <w:rPr>
          <w:color w:val="000000"/>
          <w:sz w:val="21"/>
        </w:rPr>
        <w:t>签定地点：</w:t>
      </w:r>
    </w:p>
    <w:p>
      <w:pPr>
        <w:ind w:firstLine="420"/>
        <w:jc w:val="left"/>
      </w:pPr>
      <w:r>
        <w:rPr>
          <w:color w:val="000000"/>
          <w:sz w:val="21"/>
        </w:rPr>
        <w:t>签定日期：　　　年　　月　　日</w:t>
      </w:r>
      <w:r>
        <w:rPr>
          <w:color w:val="000000"/>
          <w:sz w:val="21"/>
        </w:rPr>
        <w:t xml:space="preserve">  </w:t>
      </w:r>
      <w:r>
        <w:rPr>
          <w:color w:val="000000"/>
          <w:sz w:val="21"/>
        </w:rPr>
        <w:t>签定日期：　　　年　　月　　日</w:t>
      </w:r>
    </w:p>
    <w:p>
      <w:pPr>
        <w:ind w:firstLine="420"/>
        <w:jc w:val="left"/>
      </w:pPr>
      <w:r>
        <w:rPr>
          <w:color w:val="000000"/>
          <w:sz w:val="21"/>
        </w:rPr>
        <w:t>开户名称：</w:t>
      </w:r>
    </w:p>
    <w:p>
      <w:pPr>
        <w:ind w:firstLine="420"/>
        <w:jc w:val="left"/>
      </w:pPr>
      <w:r>
        <w:rPr>
          <w:color w:val="000000"/>
          <w:sz w:val="21"/>
        </w:rPr>
        <w:t>银行帐号：</w:t>
      </w:r>
    </w:p>
    <w:p>
      <w:pPr>
        <w:ind w:firstLine="420"/>
        <w:jc w:val="left"/>
      </w:pPr>
      <w:r>
        <w:rPr>
          <w:color w:val="000000"/>
          <w:sz w:val="21"/>
        </w:rPr>
        <w:t>开户行：</w:t>
      </w:r>
    </w:p>
    <w:p>
      <w:pPr>
        <w:jc w:val="both"/>
      </w:pPr>
    </w:p>
    <w:p>
      <w:pPr>
        <w:jc w:val="both"/>
      </w:pPr>
    </w:p>
    <w:p>
      <w:pPr>
        <w:jc w:val="both"/>
      </w:pPr>
    </w:p>
    <w:p>
      <w:pPr>
        <w:jc w:val="left"/>
      </w:pPr>
    </w:p>
    <w:p/>
    <w:p>
      <w:r>
        <w:rPr/>
        <w:t xml:space="preserve"> </w:t>
      </w:r>
    </w:p>
    <w:p>
      <w:pPr>
        <w:jc w:val="both"/>
      </w:pPr>
      <w:r>
        <w:rPr>
          <w:b/>
          <w:sz w:val="21"/>
        </w:rPr>
        <w:t>一、</w:t>
      </w:r>
      <w:r>
        <w:rPr>
          <w:b/>
          <w:sz w:val="21"/>
        </w:rPr>
        <w:t>合同一般条款</w:t>
      </w:r>
    </w:p>
    <w:p>
      <w:r>
        <w:rPr>
          <w:b/>
          <w:sz w:val="21"/>
        </w:rPr>
        <w:t>1.</w:t>
      </w:r>
      <w:r>
        <w:rPr>
          <w:b/>
          <w:sz w:val="21"/>
        </w:rPr>
        <w:t>定义</w:t>
      </w:r>
    </w:p>
    <w:p>
      <w:pPr>
        <w:jc w:val="both"/>
      </w:pPr>
      <w:r>
        <w:rPr>
          <w:sz w:val="21"/>
        </w:rPr>
        <w:t>本合同中的下列术语应解释为：</w:t>
      </w:r>
    </w:p>
    <w:p>
      <w:r>
        <w:rPr>
          <w:sz w:val="21"/>
        </w:rPr>
        <w:t>1.1</w:t>
      </w:r>
      <w:r>
        <w:rPr>
          <w:sz w:val="21"/>
        </w:rPr>
        <w:t>“合同”系指买卖双方签署的、合同格式中载明的买卖双方所达成的协议，包括所有的附件、附录和构成合同的其它文件。</w:t>
      </w:r>
    </w:p>
    <w:p>
      <w:r>
        <w:rPr>
          <w:sz w:val="21"/>
        </w:rPr>
        <w:t>1.2</w:t>
      </w:r>
      <w:r>
        <w:rPr>
          <w:sz w:val="21"/>
        </w:rPr>
        <w:t>“合同价”系指根据合同约定，卖方在完全履行合同义务后买方应付给卖方的价格。</w:t>
      </w:r>
    </w:p>
    <w:p>
      <w:r>
        <w:rPr>
          <w:sz w:val="21"/>
        </w:rPr>
        <w:t>1.3</w:t>
      </w:r>
      <w:r>
        <w:rPr>
          <w:sz w:val="21"/>
        </w:rPr>
        <w:t>“货物”系指卖方根据合同约定须向买方提供的一切设备、机械、仪表、备件，包括工具、手册等其它相关资料。“服务”系指根据合同约定卖方承担与供货有关的辅助服务，如运输、保险及安装、调试、提供技术援助、培训和其他类似的服务。</w:t>
      </w:r>
    </w:p>
    <w:p>
      <w:r>
        <w:rPr>
          <w:sz w:val="21"/>
        </w:rPr>
        <w:t>1.4</w:t>
      </w:r>
      <w:r>
        <w:rPr>
          <w:sz w:val="21"/>
        </w:rPr>
        <w:t>“买方”系指与成交人签属供货合同的单位（含最终用户）。</w:t>
      </w:r>
    </w:p>
    <w:p>
      <w:r>
        <w:rPr>
          <w:sz w:val="21"/>
        </w:rPr>
        <w:t>1.5</w:t>
      </w:r>
      <w:r>
        <w:rPr>
          <w:sz w:val="21"/>
        </w:rPr>
        <w:t>“卖方”系指根据合同约定提供货物及相关服务的成交人。</w:t>
      </w:r>
    </w:p>
    <w:p>
      <w:r>
        <w:rPr>
          <w:sz w:val="21"/>
        </w:rPr>
        <w:t>1.6</w:t>
      </w:r>
      <w:r>
        <w:rPr>
          <w:sz w:val="21"/>
        </w:rPr>
        <w:t>“现场”系指合同约定货物将要运至和安装的地点。</w:t>
      </w:r>
    </w:p>
    <w:p>
      <w:r>
        <w:rPr>
          <w:sz w:val="21"/>
        </w:rPr>
        <w:t>1.7</w:t>
      </w:r>
      <w:r>
        <w:rPr>
          <w:sz w:val="21"/>
        </w:rPr>
        <w:t>“验收”系指合同双方依据强制性的国家技术质量规范和合同约定，确认合同项下的货物符合合同规定的活动。</w:t>
      </w:r>
    </w:p>
    <w:p>
      <w:r>
        <w:rPr>
          <w:b/>
          <w:sz w:val="21"/>
        </w:rPr>
        <w:t>2.</w:t>
      </w:r>
      <w:r>
        <w:rPr>
          <w:b/>
          <w:sz w:val="21"/>
        </w:rPr>
        <w:t>技术规范</w:t>
      </w:r>
    </w:p>
    <w:p>
      <w:r>
        <w:rPr>
          <w:sz w:val="21"/>
        </w:rPr>
        <w:t>提交货物的技术规范应与磋商文件规定的技术规范和技术规范附件</w:t>
      </w:r>
      <w:r>
        <w:rPr>
          <w:sz w:val="21"/>
        </w:rPr>
        <w:t>(如果有的话)及其响应文件的技术规范偏差表(如果被买方接受的话)相一致。若技术规范中无相应说明，则以国家有关部门最新颁布的相应标准及规范为准。</w:t>
      </w:r>
    </w:p>
    <w:p>
      <w:r>
        <w:rPr>
          <w:b/>
          <w:sz w:val="21"/>
        </w:rPr>
        <w:t>3.</w:t>
      </w:r>
      <w:r>
        <w:rPr>
          <w:b/>
          <w:sz w:val="21"/>
        </w:rPr>
        <w:t>知识产权</w:t>
      </w:r>
    </w:p>
    <w:p>
      <w:r>
        <w:rPr>
          <w:sz w:val="21"/>
        </w:rPr>
        <w:t>卖方应保证买方在使用该货物或其任何一部分时不受第三方提出的侵犯专利权、著作权、商标权和工业设计权等的起诉。如果任何第三方提出侵权指控，卖方须与第三方交涉并承担由此发生的一切责任、费用和经济赔偿。</w:t>
      </w:r>
    </w:p>
    <w:p>
      <w:r>
        <w:rPr>
          <w:b/>
          <w:sz w:val="21"/>
        </w:rPr>
        <w:t>4.</w:t>
      </w:r>
      <w:r>
        <w:rPr>
          <w:b/>
          <w:sz w:val="21"/>
        </w:rPr>
        <w:t>包装要求</w:t>
      </w:r>
    </w:p>
    <w:p>
      <w:r>
        <w:rPr>
          <w:sz w:val="21"/>
        </w:rPr>
        <w:t>4.1</w:t>
      </w:r>
      <w:r>
        <w:rPr>
          <w:sz w:val="21"/>
        </w:rPr>
        <w:t>除合同另有约定外</w:t>
      </w:r>
      <w:r>
        <w:rPr>
          <w:sz w:val="21"/>
        </w:rPr>
        <w:t>,卖方提供的全部货物,均应采用本行业通用的方式进行包装，且该包装应符合国家有关包装的法律、法规的规定。包装应适应于远距离运输、防潮、防震、防锈和防粗暴装卸，确保货物安全无损，运抵现场。由于包装不善所引起的货物锈蚀、损坏和损失均由卖方承担。</w:t>
      </w:r>
    </w:p>
    <w:p>
      <w:r>
        <w:rPr>
          <w:sz w:val="21"/>
        </w:rPr>
        <w:t>4.2</w:t>
      </w:r>
      <w:r>
        <w:rPr>
          <w:sz w:val="21"/>
        </w:rPr>
        <w:t>每件包装箱内应附一份详细装箱单和质量合格证。</w:t>
      </w:r>
    </w:p>
    <w:p>
      <w:r>
        <w:rPr>
          <w:b/>
          <w:sz w:val="21"/>
        </w:rPr>
        <w:t>装运标志</w:t>
      </w:r>
    </w:p>
    <w:p>
      <w:r>
        <w:rPr>
          <w:sz w:val="21"/>
        </w:rPr>
        <w:t>5.1</w:t>
      </w:r>
      <w:r>
        <w:rPr>
          <w:sz w:val="21"/>
        </w:rPr>
        <w:t>卖方应在每一包装箱的四侧用不褪色的油漆以醒目的中文字样做出下列标记：</w:t>
      </w:r>
    </w:p>
    <w:p>
      <w:pPr>
        <w:ind w:firstLine="567"/>
        <w:jc w:val="both"/>
      </w:pPr>
      <w:r>
        <w:rPr>
          <w:sz w:val="21"/>
        </w:rPr>
        <w:t>收货人：</w:t>
      </w:r>
    </w:p>
    <w:p>
      <w:pPr>
        <w:ind w:firstLine="567"/>
        <w:jc w:val="both"/>
      </w:pPr>
      <w:r>
        <w:rPr>
          <w:sz w:val="21"/>
        </w:rPr>
        <w:t>合同号：</w:t>
      </w:r>
    </w:p>
    <w:p>
      <w:pPr>
        <w:ind w:firstLine="567"/>
        <w:jc w:val="both"/>
      </w:pPr>
      <w:r>
        <w:rPr>
          <w:sz w:val="21"/>
        </w:rPr>
        <w:t>装运标志：</w:t>
      </w:r>
    </w:p>
    <w:p>
      <w:pPr>
        <w:ind w:firstLine="567"/>
        <w:jc w:val="both"/>
      </w:pPr>
      <w:r>
        <w:rPr>
          <w:sz w:val="21"/>
        </w:rPr>
        <w:t>收货人代号：</w:t>
      </w:r>
    </w:p>
    <w:p>
      <w:pPr>
        <w:ind w:firstLine="567"/>
        <w:jc w:val="both"/>
      </w:pPr>
      <w:r>
        <w:rPr>
          <w:sz w:val="21"/>
        </w:rPr>
        <w:t>目的地：</w:t>
      </w:r>
    </w:p>
    <w:p>
      <w:pPr>
        <w:ind w:firstLine="567"/>
        <w:jc w:val="both"/>
      </w:pPr>
      <w:r>
        <w:rPr>
          <w:sz w:val="21"/>
        </w:rPr>
        <w:t>货物名称、品目号和箱号：</w:t>
      </w:r>
    </w:p>
    <w:p>
      <w:pPr>
        <w:ind w:firstLine="567"/>
        <w:jc w:val="both"/>
      </w:pPr>
      <w:r>
        <w:rPr>
          <w:sz w:val="21"/>
        </w:rPr>
        <w:t>毛重</w:t>
      </w:r>
      <w:r>
        <w:rPr>
          <w:sz w:val="21"/>
        </w:rPr>
        <w:t>/</w:t>
      </w:r>
      <w:r>
        <w:rPr>
          <w:sz w:val="21"/>
        </w:rPr>
        <w:t>净重：</w:t>
      </w:r>
    </w:p>
    <w:p>
      <w:pPr>
        <w:ind w:firstLine="567"/>
        <w:jc w:val="both"/>
      </w:pPr>
      <w:r>
        <w:rPr>
          <w:sz w:val="21"/>
        </w:rPr>
        <w:t>尺寸</w:t>
      </w:r>
      <w:r>
        <w:rPr>
          <w:sz w:val="21"/>
        </w:rPr>
        <w:t>(长×宽×高以厘米计)：</w:t>
      </w:r>
    </w:p>
    <w:p>
      <w:r>
        <w:rPr>
          <w:sz w:val="21"/>
        </w:rPr>
        <w:t>5.2</w:t>
      </w:r>
      <w:r>
        <w:rPr>
          <w:sz w:val="21"/>
        </w:rPr>
        <w:t>如果货物单件重量在</w:t>
      </w:r>
      <w:r>
        <w:rPr>
          <w:sz w:val="21"/>
        </w:rPr>
        <w:t>2吨或2吨以上，卖方应在每件包装箱的两侧用中文和适当的运输标记，标明“重心”和“吊装点”，以便装卸和搬运。根据货物的特点和运输的不同要求，卖方应在包装箱上清楚地标有“小心轻</w:t>
      </w:r>
      <w:r>
        <w:rPr>
          <w:sz w:val="21"/>
        </w:rPr>
        <w:t>放</w:t>
      </w:r>
      <w:r>
        <w:rPr>
          <w:sz w:val="21"/>
        </w:rPr>
        <w:t>”、“防潮”、“勿倒置”等字样和其他适当的标志。</w:t>
      </w:r>
    </w:p>
    <w:p>
      <w:r>
        <w:rPr>
          <w:b/>
          <w:sz w:val="21"/>
        </w:rPr>
        <w:t>6.</w:t>
      </w:r>
      <w:r>
        <w:rPr>
          <w:b/>
          <w:sz w:val="21"/>
        </w:rPr>
        <w:t>交货方式</w:t>
      </w:r>
    </w:p>
    <w:p>
      <w:r>
        <w:rPr>
          <w:sz w:val="21"/>
        </w:rPr>
        <w:t>6.1</w:t>
      </w:r>
      <w:r>
        <w:rPr>
          <w:sz w:val="21"/>
        </w:rPr>
        <w:t>交货方式一般为下列其中一种，具体在合同特殊条款中规定。</w:t>
      </w:r>
    </w:p>
    <w:p>
      <w:pPr>
        <w:jc w:val="left"/>
      </w:pPr>
      <w:r>
        <w:rPr>
          <w:sz w:val="21"/>
        </w:rPr>
        <w:t>1）</w:t>
      </w:r>
      <w:r>
        <w:rPr>
          <w:sz w:val="21"/>
        </w:rPr>
        <w:t>现场交货：卖方负责办理运输和保险，将货物运抵现场。有关运输和保险的一切费用由卖方承担。所有货物运抵现场的日期为交货日期。</w:t>
      </w:r>
    </w:p>
    <w:p>
      <w:pPr>
        <w:jc w:val="left"/>
      </w:pPr>
      <w:r>
        <w:rPr>
          <w:sz w:val="21"/>
        </w:rPr>
        <w:t>2）</w:t>
      </w:r>
      <w:r>
        <w:rPr>
          <w:sz w:val="21"/>
        </w:rPr>
        <w:t>工厂交货：由卖方负责代办运输和保险事宜。运输费和保险费由买方承担。运输部门出具收据的日期为交货日期。</w:t>
      </w:r>
    </w:p>
    <w:p>
      <w:pPr>
        <w:jc w:val="left"/>
      </w:pPr>
      <w:r>
        <w:rPr>
          <w:sz w:val="21"/>
        </w:rPr>
        <w:t>3）</w:t>
      </w:r>
      <w:r>
        <w:rPr>
          <w:sz w:val="21"/>
        </w:rPr>
        <w:t>买方自提货物：由买方在合同规定地点自行办理提货。提单日期为交货日期。</w:t>
      </w:r>
    </w:p>
    <w:p>
      <w:r>
        <w:rPr>
          <w:sz w:val="21"/>
        </w:rPr>
        <w:t>6.2</w:t>
      </w:r>
      <w:r>
        <w:rPr>
          <w:sz w:val="21"/>
        </w:rPr>
        <w:t>卖方应在合同规定的交货期天以前以电报或传真形式将合同号、货物名称、数量、包装箱件数、总毛重、总体积</w:t>
      </w:r>
      <w:r>
        <w:rPr>
          <w:sz w:val="21"/>
        </w:rPr>
        <w:t>(立方米)和备妥交货日期通知买方。同时卖方应用挂号信将详细交货清单一式6份包括合同号、货物名称、规格、数量、总毛重、总体积(立方米)、包装箱件数和每个包装箱的尺寸(长×宽×高)、货物总价和备妥待交日期以及对货物在运输和仓储的特殊要求和注意事项通知买方。</w:t>
      </w:r>
    </w:p>
    <w:p>
      <w:r>
        <w:rPr>
          <w:sz w:val="21"/>
        </w:rPr>
        <w:t>6.3</w:t>
      </w:r>
      <w:r>
        <w:rPr>
          <w:sz w:val="21"/>
        </w:rPr>
        <w:t>在现场交货和工厂交货条件下，卖方装运的货物不应超过合同规定的数量或重量。否则，卖方应对超运部分引起的一切后果负责。</w:t>
      </w:r>
    </w:p>
    <w:p>
      <w:r>
        <w:rPr>
          <w:b/>
          <w:sz w:val="21"/>
        </w:rPr>
        <w:t>7.</w:t>
      </w:r>
      <w:r>
        <w:rPr>
          <w:b/>
          <w:sz w:val="21"/>
        </w:rPr>
        <w:t>装运通知</w:t>
      </w:r>
    </w:p>
    <w:p>
      <w:r>
        <w:rPr>
          <w:sz w:val="21"/>
        </w:rPr>
        <w:t>7.1</w:t>
      </w:r>
      <w:r>
        <w:rPr>
          <w:sz w:val="21"/>
        </w:rPr>
        <w:t>在现场交货和工厂交货条件下的货物，卖方通知买方货物已备妥待运输后</w:t>
      </w:r>
      <w:r>
        <w:rPr>
          <w:sz w:val="21"/>
        </w:rPr>
        <w:t>24小时之内，应将合同号、货名、数量、毛重、总体积(立方米)、发票金额、运输工具名称及装运日期，以电报或传真通知买方。</w:t>
      </w:r>
    </w:p>
    <w:p>
      <w:r>
        <w:rPr>
          <w:sz w:val="21"/>
        </w:rPr>
        <w:t>7.2</w:t>
      </w:r>
      <w:r>
        <w:rPr>
          <w:sz w:val="21"/>
        </w:rPr>
        <w:t>如因卖方延误将上述内容用电报或传真通知买方，由此引起的一切后果损失应由卖方负责。</w:t>
      </w:r>
    </w:p>
    <w:p>
      <w:r>
        <w:rPr>
          <w:b/>
          <w:sz w:val="21"/>
        </w:rPr>
        <w:t>8.</w:t>
      </w:r>
      <w:r>
        <w:rPr>
          <w:b/>
          <w:sz w:val="21"/>
        </w:rPr>
        <w:t>保险</w:t>
      </w:r>
    </w:p>
    <w:p>
      <w:r>
        <w:rPr>
          <w:sz w:val="21"/>
        </w:rPr>
        <w:t>如果货物是按现场交货方式或工厂交货方式报价的，由卖方按照发票金额的</w:t>
      </w:r>
      <w:r>
        <w:rPr>
          <w:sz w:val="21"/>
          <w:u w:val="single"/>
        </w:rPr>
        <w:t>110%</w:t>
      </w:r>
      <w:r>
        <w:rPr>
          <w:sz w:val="21"/>
        </w:rPr>
        <w:t>办理</w:t>
      </w:r>
      <w:r>
        <w:rPr>
          <w:sz w:val="21"/>
        </w:rPr>
        <w:t>“一切险”；如果货物是按买方自提货物方式报价的，其保险由买方办理。</w:t>
      </w:r>
    </w:p>
    <w:p>
      <w:r>
        <w:rPr>
          <w:b/>
          <w:sz w:val="21"/>
        </w:rPr>
        <w:t>9.</w:t>
      </w:r>
      <w:r>
        <w:rPr>
          <w:b/>
          <w:sz w:val="21"/>
        </w:rPr>
        <w:t>付款条件</w:t>
      </w:r>
    </w:p>
    <w:p>
      <w:r>
        <w:rPr>
          <w:sz w:val="21"/>
        </w:rPr>
        <w:t>付款条件见</w:t>
      </w:r>
      <w:r>
        <w:rPr>
          <w:sz w:val="21"/>
        </w:rPr>
        <w:t>“合同特殊条款”。</w:t>
      </w:r>
    </w:p>
    <w:p>
      <w:r>
        <w:rPr>
          <w:b/>
          <w:sz w:val="21"/>
        </w:rPr>
        <w:t>10.</w:t>
      </w:r>
      <w:r>
        <w:rPr>
          <w:b/>
          <w:sz w:val="21"/>
        </w:rPr>
        <w:t>技术资料</w:t>
      </w:r>
    </w:p>
    <w:p>
      <w:r>
        <w:rPr>
          <w:sz w:val="21"/>
        </w:rPr>
        <w:t>10.1合同项下技术资料(除合同特殊条款规定外)将以下列方式交付：</w:t>
      </w:r>
    </w:p>
    <w:p>
      <w:pPr>
        <w:jc w:val="left"/>
      </w:pPr>
      <w:r>
        <w:rPr>
          <w:sz w:val="21"/>
        </w:rPr>
        <w:t>1）</w:t>
      </w:r>
      <w:r>
        <w:rPr>
          <w:sz w:val="21"/>
        </w:rPr>
        <w:t>合同生效后天之内，卖方应将每台设备和仪器的中文技术资料一套，如目录索引、图纸、操作手册、使用指南、维修指南和</w:t>
      </w:r>
      <w:r>
        <w:rPr>
          <w:sz w:val="21"/>
        </w:rPr>
        <w:t>/</w:t>
      </w:r>
      <w:r>
        <w:rPr>
          <w:sz w:val="21"/>
        </w:rPr>
        <w:t>或服务手册和示意图寄给买方。</w:t>
      </w:r>
    </w:p>
    <w:p>
      <w:pPr>
        <w:jc w:val="left"/>
      </w:pPr>
      <w:r>
        <w:rPr>
          <w:sz w:val="21"/>
        </w:rPr>
        <w:t>2）</w:t>
      </w:r>
      <w:r>
        <w:rPr>
          <w:sz w:val="21"/>
        </w:rPr>
        <w:t>另外一套完整的上述资料应包装好随同每批货物一起发运。</w:t>
      </w:r>
    </w:p>
    <w:p>
      <w:pPr>
        <w:jc w:val="left"/>
      </w:pPr>
      <w:r>
        <w:rPr>
          <w:sz w:val="21"/>
        </w:rPr>
        <w:t>3）</w:t>
      </w:r>
      <w:r>
        <w:rPr>
          <w:sz w:val="21"/>
        </w:rPr>
        <w:t>如果买方确认卖方提供的技术资料不完整或在运输过程中丢失，卖方将在收到买方通知后天内将这些资料免费寄给买方。</w:t>
      </w:r>
    </w:p>
    <w:p>
      <w:r>
        <w:rPr>
          <w:b/>
          <w:sz w:val="21"/>
        </w:rPr>
        <w:t>11.</w:t>
      </w:r>
      <w:r>
        <w:rPr>
          <w:b/>
          <w:sz w:val="21"/>
        </w:rPr>
        <w:t>质量保证</w:t>
      </w:r>
    </w:p>
    <w:p>
      <w:r>
        <w:rPr>
          <w:sz w:val="21"/>
        </w:rPr>
        <w:t>11.1</w:t>
      </w:r>
      <w:r>
        <w:rPr>
          <w:sz w:val="21"/>
        </w:rPr>
        <w:t>卖方须保证货物是全新、未使用过的，并完全符合强制性的国家技术质量规范和合同规定的质量、规格、性能和技术规范等的要求。</w:t>
      </w:r>
    </w:p>
    <w:p>
      <w:r>
        <w:rPr>
          <w:sz w:val="21"/>
        </w:rPr>
        <w:t>11.2</w:t>
      </w:r>
      <w:r>
        <w:rPr>
          <w:sz w:val="21"/>
        </w:rPr>
        <w:t>卖方须保证所提供的货物经正确安装、正常运转和保养，在其使用寿命期内须具有符合质量要求和产品说明书的性能。在货物质量保证期之内，卖方须对由于设计、工艺或材料的缺陷而发生的任何不足或故障负责。</w:t>
      </w:r>
    </w:p>
    <w:p>
      <w:r>
        <w:rPr>
          <w:sz w:val="21"/>
        </w:rPr>
        <w:t>11.3</w:t>
      </w:r>
      <w:r>
        <w:rPr>
          <w:sz w:val="21"/>
        </w:rPr>
        <w:t>根据买方按检验标准自己检验结果或委托有资质的相关质检机构的检验结果，发现货物的数量、质量、规格与合同不符；或者在质量保证期内，证实货物存在缺陷，包括潜在的缺陷或使用不符合要求的材料等，买方应尽快以书面形式通知卖方。卖方在收到通知后天内应免费维修或更换有缺陷的货物或部件。</w:t>
      </w:r>
    </w:p>
    <w:p>
      <w:r>
        <w:rPr>
          <w:sz w:val="21"/>
        </w:rPr>
        <w:t>11.4</w:t>
      </w:r>
      <w:r>
        <w:rPr>
          <w:sz w:val="21"/>
        </w:rPr>
        <w:t>如果卖方在收到通知后天内没有弥补缺陷，买方可采取必要的补救措施，但由此引发的风险和费用将由卖方承担。</w:t>
      </w:r>
    </w:p>
    <w:p>
      <w:r>
        <w:rPr>
          <w:sz w:val="21"/>
        </w:rPr>
        <w:t>11.5</w:t>
      </w:r>
      <w:r>
        <w:rPr>
          <w:sz w:val="21"/>
        </w:rPr>
        <w:t>除</w:t>
      </w:r>
      <w:r>
        <w:rPr>
          <w:sz w:val="21"/>
        </w:rPr>
        <w:t>“合同特殊条款”规定外，合同项下货物的质量保证期为自货物通过最终验收起12个月。</w:t>
      </w:r>
    </w:p>
    <w:p>
      <w:r>
        <w:rPr>
          <w:b/>
          <w:sz w:val="21"/>
        </w:rPr>
        <w:t>12.</w:t>
      </w:r>
      <w:r>
        <w:rPr>
          <w:b/>
          <w:sz w:val="21"/>
        </w:rPr>
        <w:t>检验和验收</w:t>
      </w:r>
    </w:p>
    <w:p>
      <w:r>
        <w:rPr>
          <w:sz w:val="21"/>
        </w:rPr>
        <w:t>12.1</w:t>
      </w:r>
      <w:r>
        <w:rPr>
          <w:sz w:val="21"/>
        </w:rPr>
        <w:t>在交货前，卖方应对货物的质量、规格、性能、数量和重量等进行详细而全面的检验，并出具证明货物符合合同规定的文件。该文件将作为申请付款单据的一部分，但有关质量、规格、性能、数量或重量的检验不应视为最终检验。</w:t>
      </w:r>
    </w:p>
    <w:p>
      <w:r>
        <w:rPr>
          <w:sz w:val="21"/>
        </w:rPr>
        <w:t>12.2</w:t>
      </w:r>
      <w:r>
        <w:rPr>
          <w:sz w:val="21"/>
        </w:rPr>
        <w:t>货物运抵现场后，买方应在日内组织验收，并制作验收备忘录，签署验收意见并报同级政府采购监督管理部门备案。</w:t>
      </w:r>
    </w:p>
    <w:p>
      <w:r>
        <w:rPr>
          <w:sz w:val="21"/>
        </w:rPr>
        <w:t>12.3</w:t>
      </w:r>
      <w:r>
        <w:rPr>
          <w:sz w:val="21"/>
        </w:rPr>
        <w:t>买方有在货物制造过程中派员监造的权利</w:t>
      </w:r>
      <w:r>
        <w:rPr>
          <w:sz w:val="21"/>
        </w:rPr>
        <w:t>, 卖方有义务为买方监造人员行使该权利提供方便。</w:t>
      </w:r>
    </w:p>
    <w:p>
      <w:r>
        <w:rPr>
          <w:sz w:val="21"/>
        </w:rPr>
        <w:t>12.4</w:t>
      </w:r>
      <w:r>
        <w:rPr>
          <w:sz w:val="21"/>
        </w:rPr>
        <w:t>制造厂对所供货物进行机械运转试验和性能试验时，卖方必须提前通知买方。</w:t>
      </w:r>
    </w:p>
    <w:p>
      <w:r>
        <w:rPr>
          <w:b/>
          <w:sz w:val="21"/>
        </w:rPr>
        <w:t>13.</w:t>
      </w:r>
      <w:r>
        <w:rPr>
          <w:b/>
          <w:sz w:val="21"/>
        </w:rPr>
        <w:t>索赔</w:t>
      </w:r>
    </w:p>
    <w:p>
      <w:r>
        <w:rPr>
          <w:sz w:val="21"/>
        </w:rPr>
        <w:t>13.1</w:t>
      </w:r>
      <w:r>
        <w:rPr>
          <w:sz w:val="21"/>
        </w:rPr>
        <w:t>如果货物的质量、规格、数量、重量等与合同不符，或在第</w:t>
      </w:r>
      <w:r>
        <w:rPr>
          <w:sz w:val="21"/>
        </w:rPr>
        <w:t>11.5规定的质量保证期内证实货物存有缺陷，包括潜在的缺陷或使用不符合要求的材料等，买方有权根据有资质的权威质检机构的检验结果向卖方提出索赔（但责任应由保险公司或运输部门承担的除外）。</w:t>
      </w:r>
    </w:p>
    <w:p>
      <w:r>
        <w:rPr>
          <w:sz w:val="21"/>
        </w:rPr>
        <w:t>13.2</w:t>
      </w:r>
      <w:r>
        <w:rPr>
          <w:sz w:val="21"/>
        </w:rPr>
        <w:t>在根据合同第</w:t>
      </w:r>
      <w:r>
        <w:rPr>
          <w:sz w:val="21"/>
        </w:rPr>
        <w:t>11条和第12条规定的检验期和质量保证期内，如果卖方对买方提出的索赔负有责任，卖方应按照买方同意的下列一种或多种方式解决索赔事宜：</w:t>
      </w:r>
    </w:p>
    <w:p>
      <w:pPr>
        <w:jc w:val="left"/>
      </w:pPr>
      <w:r>
        <w:rPr>
          <w:sz w:val="21"/>
        </w:rPr>
        <w:t>1）</w:t>
      </w:r>
      <w:r>
        <w:rPr>
          <w:sz w:val="21"/>
        </w:rPr>
        <w:t>在法定的退货期内，卖方应按合同规定将货款退还给买方，并承担由此发生的一切损失和费用，包括利息、银行手续费、运费、保险费、检验费、仓储费、装卸费以及为保护退回货物所需的其它必要费用。如已超过退货期，但卖方同意退货，可比照上述办法办理，或由双方协商处理。</w:t>
      </w:r>
    </w:p>
    <w:p>
      <w:pPr>
        <w:jc w:val="left"/>
      </w:pPr>
      <w:r>
        <w:rPr>
          <w:sz w:val="21"/>
        </w:rPr>
        <w:t>2）</w:t>
      </w:r>
      <w:r>
        <w:rPr>
          <w:sz w:val="21"/>
        </w:rPr>
        <w:t>根据货物低劣程度、损坏程度以及买方所遭受损失的数额，经买卖双方商定降低货物的价格，或由有权的部门评估，以降低后的价格或评估价格为准。</w:t>
      </w:r>
    </w:p>
    <w:p>
      <w:pPr>
        <w:jc w:val="left"/>
      </w:pPr>
      <w:r>
        <w:rPr>
          <w:sz w:val="21"/>
        </w:rPr>
        <w:t>3）</w:t>
      </w:r>
      <w:r>
        <w:rPr>
          <w:sz w:val="21"/>
        </w:rPr>
        <w:t>用符合规格、质量和性能要求的新零件、部件或货物来更换有缺陷的部分或</w:t>
      </w:r>
      <w:r>
        <w:rPr>
          <w:sz w:val="21"/>
        </w:rPr>
        <w:t>/</w:t>
      </w:r>
      <w:r>
        <w:rPr>
          <w:sz w:val="21"/>
        </w:rPr>
        <w:t>和修补缺陷部分，卖方应承担一切费用和风险并负担买方所发生的一切直接费用。同时，卖方应按合同第</w:t>
      </w:r>
      <w:r>
        <w:rPr>
          <w:sz w:val="21"/>
        </w:rPr>
        <w:t>11条规定，相应延长修补或更换件的质量保证期。</w:t>
      </w:r>
    </w:p>
    <w:p>
      <w:r>
        <w:rPr>
          <w:sz w:val="21"/>
        </w:rPr>
        <w:t>13.3</w:t>
      </w:r>
      <w:r>
        <w:rPr>
          <w:sz w:val="21"/>
        </w:rPr>
        <w:t>如果在买方发出索赔通知后天内，卖方未作答复，上述索赔应视为已被卖方接受。如卖方未能在买方提出索赔通知后天内或买方同意的更长时间内，按照本合同第</w:t>
      </w:r>
      <w:r>
        <w:rPr>
          <w:sz w:val="21"/>
        </w:rPr>
        <w:t>13.2条规定的任何一种方法解决索赔事宜，买方将从合同款或从卖方开具的履约保证金保函中扣回索赔金额。如果这些金额不足以补偿索赔金额，买方有权向卖方提出不足部分的补偿。</w:t>
      </w:r>
    </w:p>
    <w:p>
      <w:r>
        <w:rPr>
          <w:b/>
          <w:sz w:val="21"/>
        </w:rPr>
        <w:t>14.</w:t>
      </w:r>
      <w:r>
        <w:rPr>
          <w:b/>
          <w:sz w:val="21"/>
        </w:rPr>
        <w:t>迟延交货</w:t>
      </w:r>
    </w:p>
    <w:p>
      <w:r>
        <w:rPr>
          <w:sz w:val="21"/>
        </w:rPr>
        <w:t>14.1</w:t>
      </w:r>
      <w:r>
        <w:rPr>
          <w:sz w:val="21"/>
        </w:rPr>
        <w:t>卖方应按照</w:t>
      </w:r>
      <w:r>
        <w:rPr>
          <w:sz w:val="21"/>
        </w:rPr>
        <w:t>“货物需求一览表及技术规格”中买方规定的时间表交货和提供服务。</w:t>
      </w:r>
    </w:p>
    <w:p>
      <w:r>
        <w:rPr>
          <w:sz w:val="21"/>
        </w:rPr>
        <w:t>14.2</w:t>
      </w:r>
      <w:r>
        <w:rPr>
          <w:sz w:val="21"/>
        </w:rPr>
        <w:t>如果卖方无正当理由迟延交货，买方有权提出违约损失赔偿或解除合同。</w:t>
      </w:r>
    </w:p>
    <w:p>
      <w:r>
        <w:rPr>
          <w:sz w:val="21"/>
        </w:rPr>
        <w:t>14.3</w:t>
      </w:r>
      <w:r>
        <w:rPr>
          <w:sz w:val="21"/>
        </w:rPr>
        <w:t>在履行合同过程中，如果卖方遇到不能按时交货和提供服务的情况，应及时以书面形式将不能按时交货的理由、预期延误时间通知买方。买方收到卖方通知后，认为其理由正当的，可酌情延长交货时间。</w:t>
      </w:r>
    </w:p>
    <w:p>
      <w:r>
        <w:rPr>
          <w:b/>
          <w:sz w:val="21"/>
        </w:rPr>
        <w:t>15.</w:t>
      </w:r>
      <w:r>
        <w:rPr>
          <w:b/>
          <w:sz w:val="21"/>
        </w:rPr>
        <w:t>违约赔偿</w:t>
      </w:r>
    </w:p>
    <w:p>
      <w:pPr>
        <w:ind w:firstLine="420"/>
        <w:jc w:val="left"/>
      </w:pPr>
      <w:r>
        <w:rPr>
          <w:sz w:val="21"/>
        </w:rPr>
        <w:t>除合同第</w:t>
      </w:r>
      <w:r>
        <w:rPr>
          <w:sz w:val="21"/>
        </w:rPr>
        <w:t>16条规定外，如果卖方没有按照合同规定的时间交货和提供服务，买方可要求卖方支付违约金。违约金按每周迟交货物或未提供服务交货价的0.5%计收。但违约金的最高限额为迟交货物或没有提供服务的合同价的5%。一周按</w:t>
      </w:r>
      <w:r>
        <w:rPr>
          <w:sz w:val="21"/>
        </w:rPr>
        <w:t>7</w:t>
      </w:r>
      <w:r>
        <w:rPr>
          <w:sz w:val="21"/>
        </w:rPr>
        <w:t>天计算，不足</w:t>
      </w:r>
      <w:r>
        <w:rPr>
          <w:sz w:val="21"/>
        </w:rPr>
        <w:t>7</w:t>
      </w:r>
      <w:r>
        <w:rPr>
          <w:sz w:val="21"/>
        </w:rPr>
        <w:t>天按一周计算。如果达到最高限额，买方有权解除合同。</w:t>
      </w:r>
    </w:p>
    <w:p>
      <w:r>
        <w:rPr>
          <w:b/>
          <w:sz w:val="21"/>
        </w:rPr>
        <w:t>16.</w:t>
      </w:r>
      <w:r>
        <w:rPr>
          <w:b/>
          <w:sz w:val="21"/>
        </w:rPr>
        <w:t>不可抗力</w:t>
      </w:r>
    </w:p>
    <w:p>
      <w:r>
        <w:rPr>
          <w:sz w:val="21"/>
        </w:rPr>
        <w:t>16.1</w:t>
      </w:r>
      <w:r>
        <w:rPr>
          <w:sz w:val="21"/>
        </w:rPr>
        <w:t>如果双方中任何一方遭遇法律规定的不可抗力，致使合同履行受阻时，履行合同的期限应予延长，延长的期限应相当于不可抗力所影响的时间。</w:t>
      </w:r>
    </w:p>
    <w:p>
      <w:r>
        <w:rPr>
          <w:sz w:val="21"/>
        </w:rPr>
        <w:t>16.2</w:t>
      </w:r>
      <w:r>
        <w:rPr>
          <w:sz w:val="21"/>
        </w:rPr>
        <w:t>受事故影响的一方应在不可抗力的事故发生后尽快书面形式通知另一方，并在事故发生后天内，将有关部门出具的证明文件送达另一方。</w:t>
      </w:r>
    </w:p>
    <w:p>
      <w:r>
        <w:rPr>
          <w:sz w:val="21"/>
        </w:rPr>
        <w:t>16.3</w:t>
      </w:r>
      <w:r>
        <w:rPr>
          <w:sz w:val="21"/>
        </w:rPr>
        <w:t>不可抗力使合同的某些内容有变更必要的，双方应通过协商在日内达成进一步履行合同的协议，因不可抗力致使合同不能履行的，合同终止。</w:t>
      </w:r>
    </w:p>
    <w:p>
      <w:r>
        <w:rPr>
          <w:b/>
          <w:sz w:val="21"/>
        </w:rPr>
        <w:t>17.</w:t>
      </w:r>
      <w:r>
        <w:rPr>
          <w:b/>
          <w:sz w:val="21"/>
        </w:rPr>
        <w:t>税费</w:t>
      </w:r>
    </w:p>
    <w:p>
      <w:pPr>
        <w:ind w:firstLine="420"/>
        <w:jc w:val="left"/>
      </w:pPr>
      <w:r>
        <w:rPr>
          <w:sz w:val="21"/>
        </w:rPr>
        <w:t>与本合同有关的一切税费均适用中华人民共和国法律的相关规定。</w:t>
      </w:r>
    </w:p>
    <w:p>
      <w:r>
        <w:rPr>
          <w:b/>
          <w:sz w:val="21"/>
        </w:rPr>
        <w:t>18.</w:t>
      </w:r>
      <w:r>
        <w:rPr>
          <w:b/>
          <w:sz w:val="21"/>
        </w:rPr>
        <w:t>合同争议的解决</w:t>
      </w:r>
    </w:p>
    <w:p>
      <w:r>
        <w:rPr>
          <w:sz w:val="21"/>
        </w:rPr>
        <w:t>18.1</w:t>
      </w:r>
      <w:r>
        <w:rPr>
          <w:sz w:val="21"/>
        </w:rPr>
        <w:t>因合同履行中发生的争议，可通过合同当事人双方友好协商解决。如自协商开始之起</w:t>
      </w:r>
      <w:r>
        <w:rPr>
          <w:sz w:val="21"/>
        </w:rPr>
        <w:t>15日内得不到解决，可申请仲裁委员会进行仲裁或向人民法院提起诉讼。</w:t>
      </w:r>
    </w:p>
    <w:p>
      <w:r>
        <w:rPr>
          <w:sz w:val="21"/>
        </w:rPr>
        <w:t>18.2</w:t>
      </w:r>
      <w:r>
        <w:rPr>
          <w:sz w:val="21"/>
        </w:rPr>
        <w:t>仲裁裁决为最终裁决，当事人一方在规定时间内不履行仲裁机构裁决的，另一方可以申请人民法院强制执行。</w:t>
      </w:r>
    </w:p>
    <w:p>
      <w:r>
        <w:rPr>
          <w:sz w:val="21"/>
        </w:rPr>
        <w:t>18.3</w:t>
      </w:r>
      <w:r>
        <w:rPr>
          <w:sz w:val="21"/>
        </w:rPr>
        <w:t>仲裁费用和诉讼费用除仲裁机构或法院另有裁决外，应由败诉方负担。</w:t>
      </w:r>
    </w:p>
    <w:p>
      <w:r>
        <w:rPr>
          <w:b/>
          <w:sz w:val="21"/>
        </w:rPr>
        <w:t>19.</w:t>
      </w:r>
      <w:r>
        <w:rPr>
          <w:b/>
          <w:sz w:val="21"/>
        </w:rPr>
        <w:t>违约解除合同</w:t>
      </w:r>
    </w:p>
    <w:p>
      <w:r>
        <w:rPr>
          <w:sz w:val="21"/>
        </w:rPr>
        <w:t>19.1</w:t>
      </w:r>
      <w:r>
        <w:rPr>
          <w:sz w:val="21"/>
        </w:rPr>
        <w:t>在卖方违约的情况下，可向卖方发出书面通知，部分或全部终止合同。同时保留向卖方追诉的权利。</w:t>
      </w:r>
    </w:p>
    <w:p>
      <w:pPr>
        <w:jc w:val="both"/>
      </w:pPr>
      <w:r>
        <w:rPr>
          <w:sz w:val="21"/>
        </w:rPr>
        <w:t>19.1.1卖方未能在合同规定的限期或买方同意延长的限期内，提供全部或部分货物的；</w:t>
      </w:r>
    </w:p>
    <w:p>
      <w:pPr>
        <w:jc w:val="both"/>
      </w:pPr>
      <w:r>
        <w:rPr>
          <w:sz w:val="21"/>
        </w:rPr>
        <w:t>19.1.2卖方未能履行合同规定的其它主要义务的；</w:t>
      </w:r>
    </w:p>
    <w:p>
      <w:pPr>
        <w:jc w:val="both"/>
      </w:pPr>
      <w:r>
        <w:rPr>
          <w:sz w:val="21"/>
        </w:rPr>
        <w:t>19.1.3买方认为卖方在本合同履行过程中有腐败和欺诈行为的。</w:t>
      </w:r>
    </w:p>
    <w:p>
      <w:pPr>
        <w:jc w:val="both"/>
      </w:pPr>
      <w:r>
        <w:rPr>
          <w:sz w:val="21"/>
        </w:rPr>
        <w:t>19.1.3.1“腐败行为”和“欺诈行为”定义如下:</w:t>
      </w:r>
    </w:p>
    <w:p>
      <w:pPr>
        <w:jc w:val="both"/>
      </w:pPr>
      <w:r>
        <w:rPr>
          <w:sz w:val="21"/>
        </w:rPr>
        <w:t>19.1.3.1.1“腐败行为”是指提供/给予/接受或索取任何有价值的东西来影响买方在合同签定、履行过程中的行为。</w:t>
      </w:r>
    </w:p>
    <w:p>
      <w:pPr>
        <w:jc w:val="both"/>
      </w:pPr>
      <w:r>
        <w:rPr>
          <w:sz w:val="21"/>
        </w:rPr>
        <w:t>19.1.3.1.2 “欺诈行为”是指为了影响合同签定、履行过程，以谎报事实的方法，损害买方的利益的行为。</w:t>
      </w:r>
    </w:p>
    <w:p>
      <w:r>
        <w:rPr>
          <w:sz w:val="21"/>
        </w:rPr>
        <w:t>19.2</w:t>
      </w:r>
      <w:r>
        <w:rPr>
          <w:sz w:val="21"/>
        </w:rPr>
        <w:t>在买方根据上述第</w:t>
      </w:r>
      <w:r>
        <w:rPr>
          <w:sz w:val="21"/>
        </w:rPr>
        <w:t>19.1条规定，全部或部分解除合同之后，应当遵循诚实信用原则，卖方应承担买方购买类似货物或服务而产生的额外支出。部分解除合同的，卖方应继续履行合同中未解除的部分。</w:t>
      </w:r>
    </w:p>
    <w:p>
      <w:r>
        <w:rPr>
          <w:b/>
          <w:sz w:val="21"/>
        </w:rPr>
        <w:t>20.</w:t>
      </w:r>
      <w:r>
        <w:rPr>
          <w:b/>
          <w:sz w:val="21"/>
        </w:rPr>
        <w:t>破产终止合同</w:t>
      </w:r>
    </w:p>
    <w:p>
      <w:r>
        <w:rPr>
          <w:sz w:val="21"/>
        </w:rPr>
        <w:t>如果卖方破产或无清偿能力时，买方可在任何时候以书面通知卖方，提出终止合同而不给卖方补偿。该合同的终止将不损害或不影响买方已经采取或将要采取任何行动或补救措施的权利。</w:t>
      </w:r>
    </w:p>
    <w:p>
      <w:r>
        <w:rPr>
          <w:b/>
          <w:sz w:val="21"/>
        </w:rPr>
        <w:t>21.</w:t>
      </w:r>
      <w:r>
        <w:rPr>
          <w:b/>
          <w:sz w:val="21"/>
        </w:rPr>
        <w:t>转让和分包</w:t>
      </w:r>
    </w:p>
    <w:p>
      <w:r>
        <w:rPr>
          <w:sz w:val="21"/>
        </w:rPr>
        <w:t>21.1 政府采购合同不能转让。</w:t>
      </w:r>
    </w:p>
    <w:p>
      <w:r>
        <w:rPr>
          <w:sz w:val="21"/>
        </w:rPr>
        <w:t>21.</w:t>
      </w:r>
      <w:r>
        <w:rPr>
          <w:sz w:val="21"/>
        </w:rPr>
        <w:t>2</w:t>
      </w:r>
      <w:r>
        <w:rPr>
          <w:sz w:val="21"/>
        </w:rPr>
        <w:t>经买方事先书面同意卖方可以将合同项下非主体、非关键性工作分包给他人完成。接受分包的人应当具备相应的资格条件，并不得再次分包。分包后不能解除卖方履行本合同的责任和义务，接受分包的人与卖方共同对买方连带承担合同的责任和义务。</w:t>
      </w:r>
    </w:p>
    <w:p>
      <w:r>
        <w:rPr>
          <w:b/>
          <w:sz w:val="21"/>
        </w:rPr>
        <w:t>22.</w:t>
      </w:r>
      <w:r>
        <w:rPr>
          <w:b/>
          <w:sz w:val="21"/>
        </w:rPr>
        <w:t>合同修改</w:t>
      </w:r>
    </w:p>
    <w:p>
      <w:pPr>
        <w:ind w:firstLine="420"/>
        <w:jc w:val="left"/>
      </w:pPr>
      <w:r>
        <w:rPr>
          <w:sz w:val="21"/>
        </w:rPr>
        <w:t>买方和卖方都不得擅自变更本合同，但合同继续履行将损害国家和社会公共利益的除外。如必须对合同条款进行改动时，当事人双方须共同签署书面文件，做为合同的补充，并报同级政府采购监督管理部门备案。</w:t>
      </w:r>
    </w:p>
    <w:p>
      <w:r>
        <w:rPr>
          <w:b/>
          <w:sz w:val="21"/>
        </w:rPr>
        <w:t>23.</w:t>
      </w:r>
      <w:r>
        <w:rPr>
          <w:b/>
          <w:sz w:val="21"/>
        </w:rPr>
        <w:t>通知</w:t>
      </w:r>
    </w:p>
    <w:p>
      <w:pPr>
        <w:ind w:firstLine="420"/>
        <w:jc w:val="left"/>
      </w:pPr>
      <w:r>
        <w:rPr>
          <w:sz w:val="21"/>
        </w:rPr>
        <w:t>本合同任何一方给另一方的通知，都应以书面形式发送，而另一方也应以书面形式确认并发送到对方明确的地址。</w:t>
      </w:r>
    </w:p>
    <w:p>
      <w:r>
        <w:rPr>
          <w:b/>
          <w:sz w:val="21"/>
        </w:rPr>
        <w:t>24.</w:t>
      </w:r>
      <w:r>
        <w:rPr>
          <w:b/>
          <w:sz w:val="21"/>
        </w:rPr>
        <w:t>计量单位</w:t>
      </w:r>
    </w:p>
    <w:p>
      <w:pPr>
        <w:ind w:firstLine="420"/>
        <w:jc w:val="left"/>
      </w:pPr>
      <w:r>
        <w:rPr>
          <w:sz w:val="21"/>
        </w:rPr>
        <w:t>除技术规范中另有规定外</w:t>
      </w:r>
      <w:r>
        <w:rPr>
          <w:sz w:val="21"/>
        </w:rPr>
        <w:t>,计量单位均使用国家法定计量单位。</w:t>
      </w:r>
    </w:p>
    <w:p>
      <w:r>
        <w:rPr>
          <w:b/>
          <w:sz w:val="21"/>
        </w:rPr>
        <w:t>25.</w:t>
      </w:r>
      <w:r>
        <w:rPr>
          <w:b/>
          <w:sz w:val="21"/>
        </w:rPr>
        <w:t>适用法律</w:t>
      </w:r>
    </w:p>
    <w:p>
      <w:pPr>
        <w:ind w:firstLine="420"/>
        <w:jc w:val="left"/>
      </w:pPr>
      <w:r>
        <w:rPr>
          <w:sz w:val="21"/>
        </w:rPr>
        <w:t>本合同应按照中华人民共和国的法律进行解释。</w:t>
      </w:r>
    </w:p>
    <w:p>
      <w:r>
        <w:rPr>
          <w:b/>
          <w:sz w:val="21"/>
        </w:rPr>
        <w:t>26.</w:t>
      </w:r>
      <w:r>
        <w:rPr>
          <w:b/>
          <w:sz w:val="21"/>
        </w:rPr>
        <w:t>履约保证金</w:t>
      </w:r>
    </w:p>
    <w:p>
      <w:pPr>
        <w:jc w:val="left"/>
      </w:pPr>
      <w:r>
        <w:rPr>
          <w:sz w:val="21"/>
        </w:rPr>
        <w:t>26.1</w:t>
      </w:r>
      <w:r>
        <w:rPr>
          <w:sz w:val="21"/>
        </w:rPr>
        <w:t>卖方应在合同签订后</w:t>
      </w:r>
      <w:r>
        <w:rPr>
          <w:sz w:val="21"/>
        </w:rPr>
        <w:t>天内，按约定的方式向买方提交合同总价</w:t>
      </w:r>
      <w:r>
        <w:rPr>
          <w:sz w:val="21"/>
        </w:rPr>
        <w:t>（不超过</w:t>
      </w:r>
      <w:r>
        <w:rPr>
          <w:sz w:val="21"/>
        </w:rPr>
        <w:t>1</w:t>
      </w:r>
      <w:r>
        <w:rPr>
          <w:sz w:val="21"/>
        </w:rPr>
        <w:t>0%）的履约保证金。</w:t>
      </w:r>
    </w:p>
    <w:p>
      <w:pPr>
        <w:jc w:val="left"/>
      </w:pPr>
      <w:r>
        <w:rPr>
          <w:sz w:val="21"/>
        </w:rPr>
        <w:t>26.2</w:t>
      </w:r>
      <w:r>
        <w:rPr>
          <w:sz w:val="21"/>
        </w:rPr>
        <w:t>履约保证金用于补偿买方因卖方不能履行其合同义务而蒙受的损失。</w:t>
      </w:r>
    </w:p>
    <w:p>
      <w:pPr>
        <w:jc w:val="left"/>
      </w:pPr>
      <w:r>
        <w:rPr>
          <w:sz w:val="21"/>
        </w:rPr>
        <w:t>26.3</w:t>
      </w:r>
      <w:r>
        <w:rPr>
          <w:sz w:val="21"/>
        </w:rPr>
        <w:t>履约保证金应使用本合同货币，按下述方式之一提交：</w:t>
      </w:r>
    </w:p>
    <w:p>
      <w:pPr>
        <w:jc w:val="both"/>
      </w:pPr>
      <w:r>
        <w:rPr>
          <w:sz w:val="21"/>
        </w:rPr>
        <w:t>A. 买方可接受的在中华人民共和国注册和营业的银行，按磋商文件提供的格式，或其他买方可接受的格式。</w:t>
      </w:r>
    </w:p>
    <w:p>
      <w:pPr>
        <w:ind w:firstLine="420"/>
        <w:jc w:val="both"/>
      </w:pPr>
      <w:r>
        <w:rPr>
          <w:sz w:val="21"/>
        </w:rPr>
        <w:t>B. 支票、汇票或现金。</w:t>
      </w:r>
    </w:p>
    <w:p>
      <w:pPr>
        <w:jc w:val="left"/>
      </w:pPr>
      <w:r>
        <w:rPr>
          <w:sz w:val="21"/>
        </w:rPr>
        <w:t>26.4</w:t>
      </w:r>
      <w:r>
        <w:rPr>
          <w:sz w:val="21"/>
        </w:rPr>
        <w:t>如果卖方未能按合同规定履行其义务，买方有权从履约保证金中取得补偿。质量保证期结束后三十</w:t>
      </w:r>
      <w:r>
        <w:rPr>
          <w:sz w:val="21"/>
        </w:rPr>
        <w:t>(30)天内，买方将把履约保证金退还卖方。</w:t>
      </w:r>
    </w:p>
    <w:p>
      <w:r>
        <w:rPr>
          <w:b/>
          <w:sz w:val="21"/>
        </w:rPr>
        <w:t>27.</w:t>
      </w:r>
      <w:r>
        <w:rPr>
          <w:b/>
          <w:sz w:val="21"/>
        </w:rPr>
        <w:t>合同生效和其它</w:t>
      </w:r>
    </w:p>
    <w:p>
      <w:pPr>
        <w:jc w:val="left"/>
      </w:pPr>
      <w:r>
        <w:rPr>
          <w:sz w:val="21"/>
        </w:rPr>
        <w:t>27.1</w:t>
      </w:r>
      <w:r>
        <w:rPr>
          <w:sz w:val="21"/>
        </w:rPr>
        <w:t>政府采购项目的采购合同内容的确定应以磋商文件和响应文件为基础，不得违背其实质性内容。政府采购项目的采购合同自签订之日起七个工作日内，买方应当将合同副本报同级政府采购监督管理部门和有关部门备案。合同将在双方签字盖章并由卖方递交履约保证金后开始生效。</w:t>
      </w:r>
    </w:p>
    <w:p>
      <w:pPr>
        <w:jc w:val="left"/>
      </w:pPr>
      <w:r>
        <w:rPr>
          <w:sz w:val="21"/>
        </w:rPr>
        <w:t>27.2</w:t>
      </w:r>
      <w:r>
        <w:rPr>
          <w:sz w:val="21"/>
        </w:rPr>
        <w:t>本合同一式</w:t>
      </w:r>
      <w:r>
        <w:rPr>
          <w:sz w:val="21"/>
        </w:rPr>
        <w:t>份，具同等法律效力。</w:t>
      </w:r>
      <w:r>
        <w:rPr>
          <w:sz w:val="21"/>
        </w:rPr>
        <w:t>和</w:t>
      </w:r>
      <w:r>
        <w:rPr>
          <w:sz w:val="21"/>
          <w:u w:val="single"/>
        </w:rPr>
        <w:t xml:space="preserve">   </w:t>
      </w:r>
      <w:r>
        <w:rPr>
          <w:sz w:val="21"/>
        </w:rPr>
        <w:t>各执</w:t>
      </w:r>
      <w:r>
        <w:rPr>
          <w:sz w:val="21"/>
        </w:rPr>
        <w:t>份</w:t>
      </w:r>
      <w:r>
        <w:rPr>
          <w:sz w:val="21"/>
        </w:rPr>
        <w:t>。</w:t>
      </w:r>
    </w:p>
    <w:p>
      <w:pPr>
        <w:jc w:val="left"/>
      </w:pPr>
    </w:p>
    <w:p/>
    <w:p>
      <w:r>
        <w:rPr/>
        <w:t xml:space="preserve"> </w:t>
      </w:r>
    </w:p>
    <w:p>
      <w:pPr>
        <w:numPr>
          <w:ilvl w:val="0"/>
          <w:numId w:val="1"/>
        </w:numPr>
        <w:jc w:val="center"/>
      </w:pPr>
      <w:r>
        <w:rPr>
          <w:b/>
          <w:sz w:val="21"/>
        </w:rPr>
        <w:t>合同特殊条款</w:t>
      </w:r>
    </w:p>
    <w:p>
      <w:pPr>
        <w:ind w:firstLine="408"/>
      </w:pPr>
      <w:r>
        <w:rPr>
          <w:sz w:val="21"/>
        </w:rPr>
        <w:t>合同特殊条款是合同一般条款的补充和修改。如果两者之间有抵触，应以特殊条款为准。合同特殊条款的序号将与合同一般条款序号相对应。</w:t>
      </w:r>
    </w:p>
    <w:p>
      <w:r>
        <w:rPr>
          <w:b/>
          <w:sz w:val="21"/>
        </w:rPr>
        <w:t>1.</w:t>
      </w:r>
      <w:r>
        <w:rPr>
          <w:b/>
          <w:sz w:val="21"/>
        </w:rPr>
        <w:t>定义</w:t>
      </w:r>
    </w:p>
    <w:p>
      <w:pPr>
        <w:jc w:val="left"/>
      </w:pPr>
      <w:r>
        <w:rPr>
          <w:sz w:val="21"/>
        </w:rPr>
        <w:t>1.</w:t>
      </w:r>
      <w:r>
        <w:rPr>
          <w:sz w:val="21"/>
        </w:rPr>
        <w:t>1</w:t>
      </w:r>
      <w:r>
        <w:rPr>
          <w:sz w:val="21"/>
        </w:rPr>
        <w:t>买方：本合同买方系指：</w:t>
      </w:r>
      <w:r>
        <w:rPr>
          <w:sz w:val="21"/>
          <w:u w:val="single"/>
        </w:rPr>
        <w:t xml:space="preserve">         </w:t>
      </w:r>
      <w:r>
        <w:rPr>
          <w:sz w:val="21"/>
        </w:rPr>
        <w:t>。</w:t>
      </w:r>
    </w:p>
    <w:p>
      <w:pPr>
        <w:jc w:val="left"/>
      </w:pPr>
      <w:r>
        <w:rPr>
          <w:sz w:val="21"/>
        </w:rPr>
        <w:t>1.</w:t>
      </w:r>
      <w:r>
        <w:rPr>
          <w:sz w:val="21"/>
        </w:rPr>
        <w:t>2</w:t>
      </w:r>
      <w:r>
        <w:rPr>
          <w:sz w:val="21"/>
        </w:rPr>
        <w:t>卖方：本合同卖方系指：</w:t>
      </w:r>
      <w:r>
        <w:rPr>
          <w:sz w:val="21"/>
          <w:u w:val="single"/>
        </w:rPr>
        <w:t xml:space="preserve">           </w:t>
      </w:r>
      <w:r>
        <w:rPr>
          <w:sz w:val="21"/>
        </w:rPr>
        <w:t>。</w:t>
      </w:r>
    </w:p>
    <w:p>
      <w:pPr>
        <w:jc w:val="left"/>
      </w:pPr>
      <w:r>
        <w:rPr>
          <w:sz w:val="21"/>
        </w:rPr>
        <w:t>1.</w:t>
      </w:r>
      <w:r>
        <w:rPr>
          <w:sz w:val="21"/>
        </w:rPr>
        <w:t>3</w:t>
      </w:r>
      <w:r>
        <w:rPr>
          <w:sz w:val="21"/>
        </w:rPr>
        <w:t>现场：本合同项下的货物安装和运行地点位。</w:t>
      </w:r>
    </w:p>
    <w:p>
      <w:r>
        <w:rPr>
          <w:b/>
          <w:sz w:val="21"/>
        </w:rPr>
        <w:t>2</w:t>
      </w:r>
      <w:r>
        <w:rPr>
          <w:b/>
          <w:sz w:val="21"/>
        </w:rPr>
        <w:t>.</w:t>
      </w:r>
      <w:r>
        <w:rPr>
          <w:b/>
          <w:sz w:val="21"/>
        </w:rPr>
        <w:t>交货方式</w:t>
      </w:r>
    </w:p>
    <w:p>
      <w:pPr>
        <w:jc w:val="both"/>
      </w:pPr>
      <w:r>
        <w:rPr>
          <w:sz w:val="21"/>
        </w:rPr>
        <w:t>2</w:t>
      </w:r>
      <w:r>
        <w:rPr>
          <w:sz w:val="21"/>
        </w:rPr>
        <w:t>.1</w:t>
      </w:r>
      <w:r>
        <w:rPr>
          <w:sz w:val="21"/>
        </w:rPr>
        <w:t>本合同项下的货物交货方式为：</w:t>
      </w:r>
      <w:r>
        <w:rPr>
          <w:sz w:val="21"/>
          <w:u w:val="single"/>
        </w:rPr>
        <w:t>现场交货</w:t>
      </w:r>
      <w:r>
        <w:rPr>
          <w:sz w:val="21"/>
        </w:rPr>
        <w:t>。</w:t>
      </w:r>
    </w:p>
    <w:p>
      <w:r>
        <w:rPr>
          <w:b/>
          <w:sz w:val="21"/>
        </w:rPr>
        <w:t>3</w:t>
      </w:r>
      <w:r>
        <w:rPr>
          <w:b/>
          <w:sz w:val="21"/>
        </w:rPr>
        <w:t>.</w:t>
      </w:r>
      <w:r>
        <w:rPr>
          <w:b/>
          <w:sz w:val="21"/>
        </w:rPr>
        <w:t>付款条件：</w:t>
      </w:r>
      <w:r>
        <w:rPr>
          <w:u w:val="single"/>
        </w:rPr>
        <w:t xml:space="preserve">        </w:t>
      </w:r>
      <w:r>
        <w:rPr>
          <w:sz w:val="21"/>
        </w:rPr>
        <w:t>。</w:t>
      </w:r>
    </w:p>
    <w:p>
      <w:r>
        <w:rPr>
          <w:b/>
          <w:sz w:val="21"/>
        </w:rPr>
        <w:t>4</w:t>
      </w:r>
      <w:r>
        <w:rPr>
          <w:b/>
          <w:sz w:val="21"/>
        </w:rPr>
        <w:t>.</w:t>
      </w:r>
      <w:r>
        <w:rPr>
          <w:b/>
          <w:sz w:val="21"/>
        </w:rPr>
        <w:t>技术资料：</w:t>
      </w:r>
      <w:r>
        <w:rPr>
          <w:u w:val="single"/>
        </w:rPr>
        <w:t xml:space="preserve">       </w:t>
      </w:r>
      <w:r>
        <w:rPr>
          <w:sz w:val="21"/>
        </w:rPr>
        <w:t>。</w:t>
      </w:r>
    </w:p>
    <w:p>
      <w:r>
        <w:rPr>
          <w:b/>
          <w:sz w:val="21"/>
        </w:rPr>
        <w:t>5</w:t>
      </w:r>
      <w:r>
        <w:rPr>
          <w:b/>
          <w:sz w:val="21"/>
        </w:rPr>
        <w:t>.</w:t>
      </w:r>
      <w:r>
        <w:rPr>
          <w:b/>
          <w:sz w:val="21"/>
        </w:rPr>
        <w:t>质量保证：</w:t>
      </w:r>
    </w:p>
    <w:p>
      <w:pPr>
        <w:jc w:val="both"/>
      </w:pPr>
      <w:r>
        <w:rPr>
          <w:sz w:val="21"/>
        </w:rPr>
        <w:t>5</w:t>
      </w:r>
      <w:r>
        <w:rPr>
          <w:sz w:val="21"/>
        </w:rPr>
        <w:t>.</w:t>
      </w:r>
      <w:r>
        <w:rPr>
          <w:sz w:val="21"/>
        </w:rPr>
        <w:t>1</w:t>
      </w:r>
      <w:r>
        <w:rPr>
          <w:sz w:val="21"/>
        </w:rPr>
        <w:t xml:space="preserve"> </w:t>
      </w:r>
      <w:r>
        <w:rPr>
          <w:sz w:val="21"/>
        </w:rPr>
        <w:t>卖方在收到通知后天</w:t>
      </w:r>
      <w:r>
        <w:rPr>
          <w:sz w:val="21"/>
        </w:rPr>
        <w:t>内应免费维修或更换有缺陷的货物或部件。</w:t>
      </w:r>
    </w:p>
    <w:p>
      <w:pPr>
        <w:jc w:val="both"/>
      </w:pPr>
      <w:r>
        <w:rPr>
          <w:sz w:val="21"/>
        </w:rPr>
        <w:t>5</w:t>
      </w:r>
      <w:r>
        <w:rPr>
          <w:sz w:val="21"/>
        </w:rPr>
        <w:t>.</w:t>
      </w:r>
      <w:r>
        <w:rPr>
          <w:sz w:val="21"/>
        </w:rPr>
        <w:t>2</w:t>
      </w:r>
      <w:r>
        <w:rPr>
          <w:sz w:val="21"/>
        </w:rPr>
        <w:t>如果卖方在收到通知后</w:t>
      </w:r>
      <w:r>
        <w:rPr>
          <w:sz w:val="21"/>
        </w:rPr>
        <w:t>天内没有弥补缺陷，买方可采取必要的补救措施，但风险和费用将由卖方承担。</w:t>
      </w:r>
    </w:p>
    <w:p>
      <w:pPr>
        <w:jc w:val="left"/>
      </w:pPr>
      <w:r>
        <w:rPr>
          <w:sz w:val="21"/>
        </w:rPr>
        <w:t>5</w:t>
      </w:r>
      <w:r>
        <w:rPr>
          <w:sz w:val="21"/>
        </w:rPr>
        <w:t>.</w:t>
      </w:r>
      <w:r>
        <w:rPr>
          <w:sz w:val="21"/>
        </w:rPr>
        <w:t>3</w:t>
      </w:r>
      <w:r>
        <w:rPr>
          <w:sz w:val="21"/>
        </w:rPr>
        <w:t xml:space="preserve"> </w:t>
      </w:r>
      <w:r>
        <w:rPr>
          <w:sz w:val="21"/>
        </w:rPr>
        <w:t>合同项下货物的质量保证期为自货物通过最终验收起</w:t>
      </w:r>
      <w:r>
        <w:rPr>
          <w:sz w:val="21"/>
        </w:rPr>
        <w:t>个月。</w:t>
      </w:r>
    </w:p>
    <w:p>
      <w:r>
        <w:rPr>
          <w:b/>
          <w:sz w:val="21"/>
        </w:rPr>
        <w:t>6</w:t>
      </w:r>
      <w:r>
        <w:rPr>
          <w:b/>
          <w:sz w:val="21"/>
        </w:rPr>
        <w:t>.</w:t>
      </w:r>
      <w:r>
        <w:rPr>
          <w:b/>
          <w:sz w:val="21"/>
        </w:rPr>
        <w:t>检验和验收：</w:t>
      </w:r>
      <w:r>
        <w:rPr>
          <w:u w:val="single"/>
        </w:rPr>
        <w:t xml:space="preserve">       </w:t>
      </w:r>
      <w:r>
        <w:rPr>
          <w:sz w:val="21"/>
        </w:rPr>
        <w:t>。</w:t>
      </w:r>
    </w:p>
    <w:p>
      <w:r>
        <w:rPr>
          <w:b/>
          <w:sz w:val="21"/>
        </w:rPr>
        <w:t>7</w:t>
      </w:r>
      <w:r>
        <w:rPr>
          <w:b/>
          <w:sz w:val="21"/>
        </w:rPr>
        <w:t>.</w:t>
      </w:r>
      <w:r>
        <w:rPr>
          <w:b/>
          <w:sz w:val="21"/>
        </w:rPr>
        <w:t>索赔：</w:t>
      </w:r>
    </w:p>
    <w:p>
      <w:pPr>
        <w:jc w:val="both"/>
      </w:pPr>
      <w:r>
        <w:rPr>
          <w:sz w:val="21"/>
        </w:rPr>
        <w:t>7</w:t>
      </w:r>
      <w:r>
        <w:rPr>
          <w:sz w:val="21"/>
        </w:rPr>
        <w:t>.</w:t>
      </w:r>
      <w:r>
        <w:rPr>
          <w:sz w:val="21"/>
        </w:rPr>
        <w:t>1</w:t>
      </w:r>
      <w:r>
        <w:rPr>
          <w:sz w:val="21"/>
        </w:rPr>
        <w:t>索赔通知期限：</w:t>
      </w:r>
      <w:r>
        <w:rPr>
          <w:sz w:val="21"/>
        </w:rPr>
        <w:t>天。</w:t>
      </w:r>
    </w:p>
    <w:p>
      <w:pPr>
        <w:jc w:val="both"/>
      </w:pPr>
      <w:r>
        <w:rPr>
          <w:b/>
          <w:sz w:val="21"/>
        </w:rPr>
        <w:t>8</w:t>
      </w:r>
      <w:r>
        <w:rPr>
          <w:b/>
          <w:sz w:val="21"/>
        </w:rPr>
        <w:t>.</w:t>
      </w:r>
      <w:r>
        <w:rPr>
          <w:b/>
          <w:sz w:val="21"/>
        </w:rPr>
        <w:t>不可抗力：</w:t>
      </w:r>
    </w:p>
    <w:p>
      <w:pPr>
        <w:jc w:val="both"/>
      </w:pPr>
      <w:r>
        <w:rPr>
          <w:sz w:val="21"/>
        </w:rPr>
        <w:t>8</w:t>
      </w:r>
      <w:r>
        <w:rPr>
          <w:sz w:val="21"/>
        </w:rPr>
        <w:t>.</w:t>
      </w:r>
      <w:r>
        <w:rPr>
          <w:sz w:val="21"/>
        </w:rPr>
        <w:t>1</w:t>
      </w:r>
      <w:r>
        <w:rPr>
          <w:sz w:val="21"/>
        </w:rPr>
        <w:t xml:space="preserve"> </w:t>
      </w:r>
      <w:r>
        <w:rPr>
          <w:sz w:val="21"/>
        </w:rPr>
        <w:t>不可抗力通知送达时间：事故发生后</w:t>
      </w:r>
      <w:r>
        <w:rPr>
          <w:sz w:val="21"/>
        </w:rPr>
        <w:t>天内。</w:t>
      </w:r>
    </w:p>
    <w:p>
      <w:pPr>
        <w:jc w:val="both"/>
      </w:pPr>
      <w:r>
        <w:rPr>
          <w:b/>
          <w:sz w:val="21"/>
        </w:rPr>
        <w:t>9</w:t>
      </w:r>
      <w:r>
        <w:rPr>
          <w:b/>
          <w:sz w:val="21"/>
        </w:rPr>
        <w:t>.</w:t>
      </w:r>
      <w:r>
        <w:rPr>
          <w:b/>
          <w:sz w:val="21"/>
        </w:rPr>
        <w:t>提交履约保证金的时间：</w:t>
      </w:r>
    </w:p>
    <w:p>
      <w:pPr>
        <w:jc w:val="both"/>
      </w:pPr>
      <w:r>
        <w:rPr>
          <w:sz w:val="21"/>
        </w:rPr>
        <w:t>9</w:t>
      </w:r>
      <w:r>
        <w:rPr>
          <w:sz w:val="21"/>
        </w:rPr>
        <w:t>.1</w:t>
      </w:r>
      <w:r>
        <w:rPr>
          <w:sz w:val="21"/>
        </w:rPr>
        <w:t>签订合同后</w:t>
      </w:r>
      <w:r>
        <w:rPr>
          <w:sz w:val="21"/>
        </w:rPr>
        <w:t>天（不超过</w:t>
      </w:r>
      <w:r>
        <w:rPr>
          <w:sz w:val="21"/>
        </w:rPr>
        <w:t>30天）</w:t>
      </w:r>
      <w:r>
        <w:rPr>
          <w:sz w:val="21"/>
        </w:rPr>
        <w:t>，</w:t>
      </w:r>
      <w:r>
        <w:rPr>
          <w:sz w:val="21"/>
        </w:rPr>
        <w:t>履约保证金金额：合同总价的</w:t>
      </w:r>
      <w:r>
        <w:rPr>
          <w:sz w:val="21"/>
        </w:rPr>
        <w:t>（不超过</w:t>
      </w:r>
      <w:r>
        <w:rPr>
          <w:sz w:val="21"/>
        </w:rPr>
        <w:t>10%</w:t>
      </w:r>
      <w:r>
        <w:rPr>
          <w:sz w:val="21"/>
        </w:rPr>
        <w:t>，中小企业金额不得超过</w:t>
      </w:r>
      <w:r>
        <w:rPr>
          <w:sz w:val="21"/>
        </w:rPr>
        <w:t>5%</w:t>
      </w:r>
      <w:r>
        <w:rPr>
          <w:sz w:val="21"/>
        </w:rPr>
        <w:t>）</w:t>
      </w:r>
      <w:r>
        <w:rPr>
          <w:sz w:val="21"/>
        </w:rPr>
        <w:t>。</w:t>
      </w:r>
    </w:p>
    <w:p>
      <w:pPr>
        <w:jc w:val="left"/>
      </w:pPr>
    </w:p>
    <w:p/>
    <w:p>
      <w:r>
        <w:rPr/>
        <w:t xml:space="preserve"> </w:t>
      </w:r>
    </w:p>
    <w:p>
      <w:pPr>
        <w:jc w:val="center"/>
      </w:pPr>
      <w:r>
        <w:br/>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440222-2023-00488</w:t>
      </w:r>
    </w:p>
    <w:p>
      <w:pPr>
        <w:jc w:val="center"/>
      </w:pPr>
      <w:r>
        <w:rPr>
          <w:b/>
          <w:sz w:val="24"/>
        </w:rPr>
        <w:t>采购项目编号：</w:t>
      </w:r>
      <w:r>
        <w:rPr>
          <w:b/>
          <w:sz w:val="24"/>
        </w:rPr>
        <w:t>SGTS2023011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韶关市通盛招标代理有限公司</w:t>
      </w:r>
    </w:p>
    <w:p>
      <w:pPr>
        <w:ind w:firstLine="480"/>
      </w:pPr>
      <w:r>
        <w:rPr/>
        <w:t>你方组织的</w:t>
      </w:r>
      <w:r>
        <w:rPr>
          <w:u w:val="single"/>
        </w:rPr>
        <w:t>“</w:t>
      </w:r>
      <w:r>
        <w:rPr>
          <w:u w:val="single"/>
        </w:rPr>
        <w:t>始兴县始兴中学英语听说考场设备采购项目</w:t>
      </w:r>
      <w:r>
        <w:rPr>
          <w:u w:val="single"/>
        </w:rPr>
        <w:t>”</w:t>
      </w:r>
      <w:r>
        <w:rPr/>
        <w:t>项目的竞争性磋商[采购项目编号为：</w:t>
      </w:r>
      <w:r>
        <w:rPr>
          <w:u w:val="single"/>
        </w:rPr>
        <w:t>SGTS2023011</w:t>
      </w:r>
      <w:r>
        <w:rPr/>
        <w:t>]，我方愿参与响应。</w:t>
      </w:r>
    </w:p>
    <w:p>
      <w:pPr>
        <w:ind w:firstLine="480"/>
      </w:pPr>
      <w:r>
        <w:rPr/>
        <w:t>我方确认收到贵方提供的</w:t>
      </w:r>
      <w:r>
        <w:rPr>
          <w:u w:val="single"/>
        </w:rPr>
        <w:t>“</w:t>
      </w:r>
      <w:r>
        <w:rPr>
          <w:u w:val="single"/>
        </w:rPr>
        <w:t>始兴县始兴中学英语听说考场设备采购项目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韶关市通盛招标代理有限公司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始兴县始兴中学英语听说考场设备采购项目</w:t>
      </w:r>
      <w:r>
        <w:rPr/>
        <w:t>”项目采购[采购项目编号为</w:t>
      </w:r>
      <w:r>
        <w:rPr/>
        <w:t>SGTS2023011</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始兴县始兴中学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韶关市通盛招标代理有限公司</w:t>
      </w:r>
    </w:p>
    <w:p>
      <w:pPr>
        <w:ind w:firstLine="480"/>
      </w:pPr>
      <w:r>
        <w:rPr/>
        <w:t>我单位参加贵公司组织的</w:t>
      </w:r>
      <w:r>
        <w:rPr/>
        <w:t>始兴县始兴中学英语听说考场设备采购项目</w:t>
      </w:r>
      <w:r>
        <w:rPr/>
        <w:t>（采购项目编号：</w:t>
      </w:r>
      <w:r>
        <w:rPr/>
        <w:t>SGTS2023011</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韶关市通盛招标代理有限公司</w:t>
      </w:r>
    </w:p>
    <w:p>
      <w:pPr>
        <w:ind w:firstLine="480"/>
      </w:pPr>
      <w:r>
        <w:rPr/>
        <w:t>我单位已登记并准备参与“</w:t>
      </w:r>
      <w:r>
        <w:rPr/>
        <w:t>始兴县始兴中学英语听说考场设备采购项目</w:t>
      </w:r>
      <w:r>
        <w:rPr/>
        <w:t>”项目（采购项目编号：</w:t>
      </w:r>
      <w:r>
        <w:rPr/>
        <w:t>SGTS2023011</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